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media/image1.wmf" ContentType="image/x-wmf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footer1.xml.rels" ContentType="application/vnd.openxmlformats-package.relationships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 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numPr>
          <w:ilvl w:val="0"/>
          <w:numId w:val="0"/>
        </w:numPr>
        <w:spacing w:lineRule="auto" w:line="360"/>
        <w:ind w:left="0" w:hanging="0"/>
        <w:jc w:val="center"/>
        <w:outlineLvl w:val="0"/>
        <w:rPr>
          <w:b/>
          <w:b/>
          <w:sz w:val="44"/>
        </w:rPr>
      </w:pPr>
      <w:r>
        <w:rPr>
          <w:b/>
          <w:sz w:val="44"/>
        </w:rPr>
        <w:t>Záverečný účet Obce Rakovnica</w:t>
      </w:r>
    </w:p>
    <w:p>
      <w:pPr>
        <w:pStyle w:val="Normal"/>
        <w:tabs>
          <w:tab w:val="clear" w:pos="720"/>
          <w:tab w:val="left" w:pos="708" w:leader="none"/>
          <w:tab w:val="left" w:pos="1416" w:leader="none"/>
          <w:tab w:val="left" w:pos="2124" w:leader="none"/>
          <w:tab w:val="left" w:pos="2832" w:leader="none"/>
          <w:tab w:val="left" w:pos="3540" w:leader="none"/>
          <w:tab w:val="left" w:pos="4248" w:leader="none"/>
          <w:tab w:val="left" w:pos="4956" w:leader="none"/>
          <w:tab w:val="left" w:pos="6249" w:leader="none"/>
        </w:tabs>
        <w:jc w:val="center"/>
        <w:rPr>
          <w:b/>
          <w:b/>
          <w:sz w:val="44"/>
        </w:rPr>
      </w:pPr>
      <w:r>
        <w:rPr>
          <w:b/>
          <w:sz w:val="44"/>
        </w:rPr>
        <w:t>za rok 2025</w:t>
      </w:r>
    </w:p>
    <w:p>
      <w:pPr>
        <w:pStyle w:val="Normal"/>
        <w:tabs>
          <w:tab w:val="clear" w:pos="720"/>
          <w:tab w:val="left" w:pos="708" w:leader="none"/>
          <w:tab w:val="left" w:pos="1416" w:leader="none"/>
          <w:tab w:val="left" w:pos="2124" w:leader="none"/>
          <w:tab w:val="left" w:pos="2832" w:leader="none"/>
          <w:tab w:val="left" w:pos="3540" w:leader="none"/>
          <w:tab w:val="left" w:pos="4248" w:leader="none"/>
          <w:tab w:val="left" w:pos="4956" w:leader="none"/>
          <w:tab w:val="left" w:pos="6249" w:leader="none"/>
        </w:tabs>
        <w:jc w:val="center"/>
        <w:rPr>
          <w:b/>
          <w:b/>
        </w:rPr>
      </w:pPr>
      <w:r>
        <w:rPr>
          <w:b/>
        </w:rPr>
      </w:r>
    </w:p>
    <w:p>
      <w:pPr>
        <w:pStyle w:val="Normal"/>
        <w:tabs>
          <w:tab w:val="clear" w:pos="720"/>
          <w:tab w:val="left" w:pos="708" w:leader="none"/>
          <w:tab w:val="left" w:pos="1416" w:leader="none"/>
          <w:tab w:val="left" w:pos="2124" w:leader="none"/>
          <w:tab w:val="left" w:pos="2832" w:leader="none"/>
          <w:tab w:val="left" w:pos="3540" w:leader="none"/>
          <w:tab w:val="left" w:pos="4248" w:leader="none"/>
          <w:tab w:val="left" w:pos="4956" w:leader="none"/>
          <w:tab w:val="left" w:pos="6249" w:leader="none"/>
        </w:tabs>
        <w:jc w:val="center"/>
        <w:rPr>
          <w:b/>
          <w:b/>
        </w:rPr>
      </w:pPr>
      <w:r>
        <w:rPr>
          <w:b/>
        </w:rPr>
      </w:r>
    </w:p>
    <w:p>
      <w:pPr>
        <w:pStyle w:val="Normal"/>
        <w:tabs>
          <w:tab w:val="clear" w:pos="720"/>
          <w:tab w:val="left" w:pos="708" w:leader="none"/>
          <w:tab w:val="left" w:pos="1416" w:leader="none"/>
          <w:tab w:val="left" w:pos="2124" w:leader="none"/>
          <w:tab w:val="left" w:pos="2832" w:leader="none"/>
          <w:tab w:val="left" w:pos="3540" w:leader="none"/>
          <w:tab w:val="left" w:pos="4248" w:leader="none"/>
          <w:tab w:val="left" w:pos="4956" w:leader="none"/>
          <w:tab w:val="left" w:pos="6249" w:leader="none"/>
        </w:tabs>
        <w:jc w:val="center"/>
        <w:rPr>
          <w:b/>
          <w:b/>
        </w:rPr>
      </w:pPr>
      <w:r>
        <w:rPr>
          <w:b/>
        </w:rPr>
      </w:r>
    </w:p>
    <w:p>
      <w:pPr>
        <w:pStyle w:val="Normal"/>
        <w:tabs>
          <w:tab w:val="clear" w:pos="720"/>
          <w:tab w:val="left" w:pos="708" w:leader="none"/>
          <w:tab w:val="left" w:pos="1416" w:leader="none"/>
          <w:tab w:val="left" w:pos="2124" w:leader="none"/>
          <w:tab w:val="left" w:pos="2832" w:leader="none"/>
          <w:tab w:val="left" w:pos="3540" w:leader="none"/>
          <w:tab w:val="left" w:pos="4248" w:leader="none"/>
          <w:tab w:val="left" w:pos="4956" w:leader="none"/>
          <w:tab w:val="left" w:pos="6249" w:leader="none"/>
        </w:tabs>
        <w:jc w:val="center"/>
        <w:rPr>
          <w:b/>
          <w:b/>
        </w:rPr>
      </w:pPr>
      <w:r>
        <w:rPr>
          <w:b/>
        </w:rPr>
      </w:r>
    </w:p>
    <w:p>
      <w:pPr>
        <w:pStyle w:val="Normal"/>
        <w:tabs>
          <w:tab w:val="clear" w:pos="720"/>
          <w:tab w:val="left" w:pos="708" w:leader="none"/>
          <w:tab w:val="left" w:pos="1416" w:leader="none"/>
          <w:tab w:val="left" w:pos="2124" w:leader="none"/>
          <w:tab w:val="left" w:pos="2832" w:leader="none"/>
          <w:tab w:val="left" w:pos="3540" w:leader="none"/>
          <w:tab w:val="left" w:pos="4248" w:leader="none"/>
          <w:tab w:val="left" w:pos="4956" w:leader="none"/>
          <w:tab w:val="left" w:pos="6249" w:leader="none"/>
        </w:tabs>
        <w:jc w:val="center"/>
        <w:rPr>
          <w:b/>
          <w:b/>
        </w:rPr>
      </w:pPr>
      <w:r>
        <w:rPr>
          <w:b/>
        </w:rPr>
      </w:r>
    </w:p>
    <w:p>
      <w:pPr>
        <w:pStyle w:val="Normal"/>
        <w:tabs>
          <w:tab w:val="clear" w:pos="720"/>
          <w:tab w:val="left" w:pos="708" w:leader="none"/>
          <w:tab w:val="left" w:pos="1416" w:leader="none"/>
          <w:tab w:val="left" w:pos="2124" w:leader="none"/>
          <w:tab w:val="left" w:pos="2832" w:leader="none"/>
          <w:tab w:val="left" w:pos="3540" w:leader="none"/>
          <w:tab w:val="left" w:pos="4248" w:leader="none"/>
          <w:tab w:val="left" w:pos="4956" w:leader="none"/>
          <w:tab w:val="left" w:pos="6249" w:leader="none"/>
        </w:tabs>
        <w:jc w:val="center"/>
        <w:rPr>
          <w:b/>
          <w:b/>
        </w:rPr>
      </w:pPr>
      <w:r>
        <w:rPr>
          <w:b/>
        </w:rPr>
      </w:r>
    </w:p>
    <w:p>
      <w:pPr>
        <w:pStyle w:val="Normal"/>
        <w:tabs>
          <w:tab w:val="clear" w:pos="720"/>
          <w:tab w:val="left" w:pos="708" w:leader="none"/>
          <w:tab w:val="left" w:pos="1416" w:leader="none"/>
          <w:tab w:val="left" w:pos="2124" w:leader="none"/>
          <w:tab w:val="left" w:pos="2832" w:leader="none"/>
          <w:tab w:val="left" w:pos="3540" w:leader="none"/>
          <w:tab w:val="left" w:pos="4248" w:leader="none"/>
          <w:tab w:val="left" w:pos="4956" w:leader="none"/>
          <w:tab w:val="left" w:pos="6249" w:leader="none"/>
        </w:tabs>
        <w:jc w:val="center"/>
        <w:rPr>
          <w:b/>
          <w:b/>
        </w:rPr>
      </w:pPr>
      <w:r>
        <w:rPr>
          <w:b/>
        </w:rPr>
      </w:r>
    </w:p>
    <w:p>
      <w:pPr>
        <w:pStyle w:val="Normal"/>
        <w:tabs>
          <w:tab w:val="clear" w:pos="720"/>
          <w:tab w:val="left" w:pos="708" w:leader="none"/>
          <w:tab w:val="left" w:pos="1416" w:leader="none"/>
          <w:tab w:val="left" w:pos="2124" w:leader="none"/>
          <w:tab w:val="left" w:pos="2832" w:leader="none"/>
          <w:tab w:val="left" w:pos="3540" w:leader="none"/>
          <w:tab w:val="left" w:pos="4248" w:leader="none"/>
          <w:tab w:val="left" w:pos="4956" w:leader="none"/>
          <w:tab w:val="left" w:pos="6249" w:leader="none"/>
        </w:tabs>
        <w:jc w:val="center"/>
        <w:rPr>
          <w:b/>
          <w:b/>
        </w:rPr>
      </w:pPr>
      <w:r>
        <w:rPr>
          <w:b/>
        </w:rPr>
      </w:r>
    </w:p>
    <w:p>
      <w:pPr>
        <w:pStyle w:val="Normal"/>
        <w:tabs>
          <w:tab w:val="clear" w:pos="720"/>
          <w:tab w:val="left" w:pos="708" w:leader="none"/>
          <w:tab w:val="left" w:pos="1416" w:leader="none"/>
          <w:tab w:val="left" w:pos="2124" w:leader="none"/>
          <w:tab w:val="left" w:pos="2832" w:leader="none"/>
          <w:tab w:val="left" w:pos="3540" w:leader="none"/>
          <w:tab w:val="left" w:pos="4248" w:leader="none"/>
          <w:tab w:val="left" w:pos="4956" w:leader="none"/>
          <w:tab w:val="left" w:pos="6249" w:leader="none"/>
        </w:tabs>
        <w:jc w:val="center"/>
        <w:rPr>
          <w:b/>
          <w:b/>
        </w:rPr>
      </w:pPr>
      <w:r>
        <w:rPr>
          <w:b/>
        </w:rPr>
      </w:r>
    </w:p>
    <w:p>
      <w:pPr>
        <w:pStyle w:val="Normal"/>
        <w:spacing w:lineRule="auto" w:line="360"/>
        <w:rPr/>
      </w:pPr>
      <w:r>
        <w:rPr/>
        <w:t>Predkladá : Ing. Radoslava Uhrinová</w:t>
      </w:r>
    </w:p>
    <w:p>
      <w:pPr>
        <w:pStyle w:val="Normal"/>
        <w:spacing w:lineRule="auto" w:line="360"/>
        <w:rPr/>
      </w:pPr>
      <w:r>
        <w:rPr/>
        <w:t>Spracoval:  Denisa Garanová</w:t>
      </w:r>
    </w:p>
    <w:p>
      <w:pPr>
        <w:pStyle w:val="Normal"/>
        <w:spacing w:lineRule="auto" w:line="360"/>
        <w:rPr/>
      </w:pPr>
      <w:r>
        <w:rPr/>
      </w:r>
    </w:p>
    <w:p>
      <w:pPr>
        <w:pStyle w:val="Normal"/>
        <w:spacing w:lineRule="auto" w:line="360"/>
        <w:rPr/>
      </w:pPr>
      <w:r>
        <w:rPr/>
        <w:t xml:space="preserve">V Rakovnici, dňa </w:t>
      </w:r>
      <w:r>
        <w:rPr>
          <w:rFonts w:eastAsia="Times New Roman" w:cs="Times New Roman"/>
          <w:color w:val="auto"/>
          <w:kern w:val="0"/>
          <w:sz w:val="24"/>
          <w:szCs w:val="24"/>
          <w:lang w:val="sk-SK" w:eastAsia="cs-CZ" w:bidi="ar-SA"/>
        </w:rPr>
        <w:t>06</w:t>
      </w:r>
      <w:r>
        <w:rPr/>
        <w:t>.04.2026</w:t>
      </w:r>
    </w:p>
    <w:p>
      <w:pPr>
        <w:pStyle w:val="Normal"/>
        <w:spacing w:lineRule="auto" w:line="360"/>
        <w:rPr/>
      </w:pPr>
      <w:r>
        <w:rPr/>
      </w:r>
    </w:p>
    <w:p>
      <w:pPr>
        <w:pStyle w:val="Normal"/>
        <w:spacing w:lineRule="auto" w:line="360"/>
        <w:rPr/>
      </w:pPr>
      <w:r>
        <w:rPr/>
      </w:r>
    </w:p>
    <w:p>
      <w:pPr>
        <w:pStyle w:val="Normal"/>
        <w:spacing w:lineRule="auto" w:line="360"/>
        <w:rPr/>
      </w:pPr>
      <w:r>
        <w:rPr/>
        <w:t xml:space="preserve">Záverečný účet schválený Obecným zastupiteľstvom v Rakovnici dňa ........, uznesením č. ............... </w:t>
      </w:r>
    </w:p>
    <w:p>
      <w:pPr>
        <w:pStyle w:val="Normal"/>
        <w:spacing w:lineRule="auto" w:line="360"/>
        <w:rPr/>
      </w:pPr>
      <w:r>
        <w:rPr/>
      </w:r>
    </w:p>
    <w:p>
      <w:pPr>
        <w:pStyle w:val="Normal"/>
        <w:spacing w:lineRule="auto" w:line="360"/>
        <w:rPr/>
      </w:pPr>
      <w:r>
        <w:rPr/>
        <w:t xml:space="preserve">Záverečný účet: </w:t>
      </w:r>
    </w:p>
    <w:p>
      <w:pPr>
        <w:pStyle w:val="Normal"/>
        <w:numPr>
          <w:ilvl w:val="0"/>
          <w:numId w:val="8"/>
        </w:numPr>
        <w:spacing w:lineRule="auto" w:line="360"/>
        <w:rPr/>
      </w:pPr>
      <w:r>
        <w:rPr/>
        <w:t xml:space="preserve">vyvesený na úradnej tabuli obce dňa </w:t>
      </w:r>
      <w:r>
        <w:rPr>
          <w:rFonts w:eastAsia="Times New Roman" w:cs="Times New Roman"/>
          <w:color w:val="auto"/>
          <w:kern w:val="0"/>
          <w:sz w:val="24"/>
          <w:szCs w:val="24"/>
          <w:lang w:val="sk-SK" w:eastAsia="cs-CZ" w:bidi="ar-SA"/>
        </w:rPr>
        <w:t>07</w:t>
      </w:r>
      <w:r>
        <w:rPr/>
        <w:t>.04.2026</w:t>
      </w:r>
    </w:p>
    <w:p>
      <w:pPr>
        <w:pStyle w:val="Normal"/>
        <w:numPr>
          <w:ilvl w:val="0"/>
          <w:numId w:val="8"/>
        </w:numPr>
        <w:spacing w:lineRule="auto" w:line="360"/>
        <w:rPr/>
      </w:pPr>
      <w:r>
        <w:rPr/>
        <w:t xml:space="preserve">zverejnený na elektronickej úradnej tabuli obce </w:t>
      </w:r>
      <w:r>
        <w:rPr>
          <w:rFonts w:eastAsia="Times New Roman" w:cs="Times New Roman"/>
          <w:color w:val="auto"/>
          <w:kern w:val="0"/>
          <w:sz w:val="24"/>
          <w:szCs w:val="24"/>
          <w:lang w:val="sk-SK" w:eastAsia="cs-CZ" w:bidi="ar-SA"/>
        </w:rPr>
        <w:t>07</w:t>
      </w:r>
      <w:r>
        <w:rPr/>
        <w:t>.04.2026</w:t>
      </w:r>
    </w:p>
    <w:p>
      <w:pPr>
        <w:pStyle w:val="Normal"/>
        <w:numPr>
          <w:ilvl w:val="0"/>
          <w:numId w:val="8"/>
        </w:numPr>
        <w:spacing w:lineRule="auto" w:line="360"/>
        <w:rPr/>
      </w:pPr>
      <w:r>
        <w:rPr/>
        <w:t xml:space="preserve">zverejnený na webovom sídle obce dňa </w:t>
      </w:r>
      <w:r>
        <w:rPr>
          <w:rFonts w:eastAsia="Times New Roman" w:cs="Times New Roman"/>
          <w:color w:val="auto"/>
          <w:kern w:val="0"/>
          <w:sz w:val="24"/>
          <w:szCs w:val="24"/>
          <w:lang w:val="sk-SK" w:eastAsia="cs-CZ" w:bidi="ar-SA"/>
        </w:rPr>
        <w:t>07</w:t>
      </w:r>
      <w:r>
        <w:rPr/>
        <w:t>.04.2026</w:t>
      </w:r>
    </w:p>
    <w:p>
      <w:pPr>
        <w:pStyle w:val="Normal"/>
        <w:jc w:val="center"/>
        <w:rPr>
          <w:b/>
          <w:b/>
        </w:rPr>
      </w:pPr>
      <w:r>
        <w:rPr>
          <w:b/>
        </w:rPr>
      </w:r>
    </w:p>
    <w:p>
      <w:pPr>
        <w:pStyle w:val="Normal"/>
        <w:jc w:val="center"/>
        <w:rPr>
          <w:b/>
          <w:b/>
        </w:rPr>
      </w:pPr>
      <w:r>
        <w:rPr>
          <w:b/>
        </w:rPr>
        <w:t>Záverečný účet obce za rok 2025</w:t>
      </w:r>
    </w:p>
    <w:p>
      <w:pPr>
        <w:pStyle w:val="Normal"/>
        <w:rPr/>
      </w:pPr>
      <w:r>
        <w:rPr/>
      </w:r>
    </w:p>
    <w:p>
      <w:pPr>
        <w:pStyle w:val="Normal"/>
        <w:rPr>
          <w:b/>
          <w:b/>
        </w:rPr>
      </w:pPr>
      <w:r>
        <w:rPr>
          <w:b/>
        </w:rPr>
      </w:r>
    </w:p>
    <w:p>
      <w:pPr>
        <w:pStyle w:val="Normal"/>
        <w:spacing w:lineRule="auto" w:line="360"/>
        <w:rPr>
          <w:b/>
          <w:b/>
        </w:rPr>
      </w:pPr>
      <w:r>
        <w:rPr>
          <w:b/>
        </w:rPr>
        <w:t xml:space="preserve">OBSAH : </w:t>
      </w:r>
    </w:p>
    <w:p>
      <w:pPr>
        <w:pStyle w:val="Normal"/>
        <w:spacing w:lineRule="auto" w:line="360"/>
        <w:rPr>
          <w:b/>
          <w:b/>
        </w:rPr>
      </w:pPr>
      <w:r>
        <w:rPr>
          <w:b/>
        </w:rPr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426" w:leader="none"/>
        </w:tabs>
        <w:spacing w:lineRule="auto" w:line="360"/>
        <w:ind w:left="426" w:hanging="426"/>
        <w:rPr/>
      </w:pPr>
      <w:r>
        <w:rPr/>
        <w:t>Rozpočet obce na rok 2025</w:t>
      </w:r>
    </w:p>
    <w:p>
      <w:pPr>
        <w:pStyle w:val="Normal"/>
        <w:spacing w:lineRule="auto" w:line="360"/>
        <w:ind w:left="540" w:hanging="0"/>
        <w:rPr/>
      </w:pPr>
      <w:r>
        <w:rPr/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426" w:leader="none"/>
        </w:tabs>
        <w:spacing w:lineRule="auto" w:line="360"/>
        <w:ind w:left="426" w:hanging="426"/>
        <w:rPr/>
      </w:pPr>
      <w:r>
        <w:rPr/>
        <w:t>Rozbor plnenia príjmov za rok 2025</w:t>
      </w:r>
    </w:p>
    <w:p>
      <w:pPr>
        <w:pStyle w:val="Normal"/>
        <w:spacing w:lineRule="auto" w:line="360"/>
        <w:rPr/>
      </w:pPr>
      <w:r>
        <w:rPr/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426" w:leader="none"/>
        </w:tabs>
        <w:spacing w:lineRule="auto" w:line="360"/>
        <w:ind w:left="426" w:hanging="426"/>
        <w:rPr/>
      </w:pPr>
      <w:r>
        <w:rPr/>
        <w:t>Rozbor čerpania výdavkov za rok 2025</w:t>
      </w:r>
    </w:p>
    <w:p>
      <w:pPr>
        <w:pStyle w:val="Normal"/>
        <w:spacing w:lineRule="auto" w:line="360"/>
        <w:rPr/>
      </w:pPr>
      <w:r>
        <w:rPr/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426" w:leader="none"/>
        </w:tabs>
        <w:spacing w:lineRule="auto" w:line="360"/>
        <w:ind w:left="426" w:hanging="426"/>
        <w:rPr/>
      </w:pPr>
      <w:r>
        <w:rPr/>
        <w:t>Prebytok/schodok rozpočtového hospodárenia za rok 2025</w:t>
      </w:r>
    </w:p>
    <w:p>
      <w:pPr>
        <w:pStyle w:val="Normal"/>
        <w:tabs>
          <w:tab w:val="clear" w:pos="720"/>
          <w:tab w:val="left" w:pos="426" w:leader="none"/>
        </w:tabs>
        <w:spacing w:lineRule="auto" w:line="360"/>
        <w:ind w:left="900" w:hanging="0"/>
        <w:rPr/>
      </w:pPr>
      <w:r>
        <w:rPr/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426" w:leader="none"/>
        </w:tabs>
        <w:spacing w:lineRule="auto" w:line="360"/>
        <w:ind w:left="426" w:hanging="426"/>
        <w:rPr/>
      </w:pPr>
      <w:r>
        <w:rPr/>
        <w:t>Tvorba a použitie peňažných fondov a iných fondov</w:t>
      </w:r>
    </w:p>
    <w:p>
      <w:pPr>
        <w:pStyle w:val="Normal"/>
        <w:tabs>
          <w:tab w:val="clear" w:pos="720"/>
          <w:tab w:val="left" w:pos="426" w:leader="none"/>
        </w:tabs>
        <w:spacing w:lineRule="auto" w:line="360"/>
        <w:ind w:left="426" w:hanging="426"/>
        <w:rPr/>
      </w:pPr>
      <w:r>
        <w:rPr/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426" w:leader="none"/>
        </w:tabs>
        <w:spacing w:lineRule="auto" w:line="360"/>
        <w:ind w:left="426" w:hanging="426"/>
        <w:rPr/>
      </w:pPr>
      <w:r>
        <w:rPr/>
        <w:t>Bilancia aktív a pasív k 31.12.2025</w:t>
      </w:r>
    </w:p>
    <w:p>
      <w:pPr>
        <w:pStyle w:val="Normal"/>
        <w:spacing w:lineRule="auto" w:line="360"/>
        <w:rPr/>
      </w:pPr>
      <w:r>
        <w:rPr/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426" w:leader="none"/>
        </w:tabs>
        <w:spacing w:lineRule="auto" w:line="360"/>
        <w:ind w:left="426" w:hanging="426"/>
        <w:rPr/>
      </w:pPr>
      <w:r>
        <w:rPr/>
        <w:t>Prehľad o stave a vývoji dlhu k 31.12.2025</w:t>
      </w:r>
    </w:p>
    <w:p>
      <w:pPr>
        <w:pStyle w:val="Normal"/>
        <w:spacing w:lineRule="auto" w:line="360"/>
        <w:rPr/>
      </w:pPr>
      <w:r>
        <w:rPr/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426" w:leader="none"/>
        </w:tabs>
        <w:spacing w:lineRule="auto" w:line="360"/>
        <w:ind w:left="426" w:hanging="426"/>
        <w:rPr/>
      </w:pPr>
      <w:r>
        <w:rPr/>
        <w:t>Prehľad o poskytnutých dotáciách právnickým osobám a fyzickým osobám - podnikateľom podľa § 7 ods. 4 zákona č.583/2004 Z.z.</w:t>
      </w:r>
    </w:p>
    <w:p>
      <w:pPr>
        <w:pStyle w:val="Normal"/>
        <w:spacing w:lineRule="auto" w:line="360"/>
        <w:rPr/>
      </w:pPr>
      <w:r>
        <w:rPr/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426" w:leader="none"/>
        </w:tabs>
        <w:spacing w:lineRule="auto" w:line="360"/>
        <w:ind w:left="426" w:hanging="426"/>
        <w:rPr/>
      </w:pPr>
      <w:r>
        <w:rPr/>
        <w:t>Finančné usporiadanie finančných vzťahov voči:</w:t>
      </w:r>
    </w:p>
    <w:p>
      <w:pPr>
        <w:pStyle w:val="Normal"/>
        <w:numPr>
          <w:ilvl w:val="1"/>
          <w:numId w:val="2"/>
        </w:numPr>
        <w:tabs>
          <w:tab w:val="clear" w:pos="720"/>
          <w:tab w:val="left" w:pos="709" w:leader="none"/>
        </w:tabs>
        <w:spacing w:lineRule="auto" w:line="360"/>
        <w:ind w:left="709" w:hanging="283"/>
        <w:rPr/>
      </w:pPr>
      <w:r>
        <w:rPr/>
        <w:t>zriadeným a založeným právnickým osobám</w:t>
      </w:r>
    </w:p>
    <w:p>
      <w:pPr>
        <w:pStyle w:val="Normal"/>
        <w:numPr>
          <w:ilvl w:val="1"/>
          <w:numId w:val="2"/>
        </w:numPr>
        <w:tabs>
          <w:tab w:val="clear" w:pos="720"/>
          <w:tab w:val="left" w:pos="709" w:leader="none"/>
        </w:tabs>
        <w:spacing w:lineRule="auto" w:line="360"/>
        <w:ind w:left="709" w:hanging="283"/>
        <w:rPr/>
      </w:pPr>
      <w:r>
        <w:rPr/>
        <w:t>štátnemu rozpočtu</w:t>
      </w:r>
    </w:p>
    <w:p>
      <w:pPr>
        <w:pStyle w:val="Normal"/>
        <w:numPr>
          <w:ilvl w:val="1"/>
          <w:numId w:val="2"/>
        </w:numPr>
        <w:tabs>
          <w:tab w:val="clear" w:pos="720"/>
          <w:tab w:val="left" w:pos="709" w:leader="none"/>
        </w:tabs>
        <w:spacing w:lineRule="auto" w:line="360"/>
        <w:ind w:left="709" w:hanging="283"/>
        <w:rPr/>
      </w:pPr>
      <w:r>
        <w:rPr/>
        <w:t>štátnym fondom</w:t>
      </w:r>
    </w:p>
    <w:p>
      <w:pPr>
        <w:pStyle w:val="Normal"/>
        <w:numPr>
          <w:ilvl w:val="1"/>
          <w:numId w:val="2"/>
        </w:numPr>
        <w:tabs>
          <w:tab w:val="clear" w:pos="720"/>
          <w:tab w:val="left" w:pos="709" w:leader="none"/>
        </w:tabs>
        <w:spacing w:lineRule="auto" w:line="360"/>
        <w:ind w:left="709" w:hanging="283"/>
        <w:rPr/>
      </w:pPr>
      <w:r>
        <w:rPr/>
        <w:t>rozpočtom iných obcí</w:t>
      </w:r>
    </w:p>
    <w:p>
      <w:pPr>
        <w:pStyle w:val="Normal"/>
        <w:numPr>
          <w:ilvl w:val="1"/>
          <w:numId w:val="2"/>
        </w:numPr>
        <w:tabs>
          <w:tab w:val="clear" w:pos="720"/>
          <w:tab w:val="left" w:pos="709" w:leader="none"/>
        </w:tabs>
        <w:spacing w:lineRule="auto" w:line="360"/>
        <w:ind w:left="709" w:hanging="283"/>
        <w:rPr/>
      </w:pPr>
      <w:r>
        <w:rPr/>
        <w:t>rozpočtom VÚC</w:t>
      </w:r>
    </w:p>
    <w:p>
      <w:pPr>
        <w:pStyle w:val="Normal"/>
        <w:ind w:left="1080" w:hanging="0"/>
        <w:rPr/>
      </w:pPr>
      <w:r>
        <w:rPr/>
      </w:r>
    </w:p>
    <w:p>
      <w:pPr>
        <w:pStyle w:val="Normal"/>
        <w:ind w:left="900" w:hanging="0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jc w:val="center"/>
        <w:rPr>
          <w:b/>
          <w:b/>
        </w:rPr>
      </w:pPr>
      <w:r>
        <w:rPr>
          <w:b/>
        </w:rPr>
      </w:r>
    </w:p>
    <w:p>
      <w:pPr>
        <w:pStyle w:val="Normal"/>
        <w:jc w:val="center"/>
        <w:rPr>
          <w:b/>
          <w:b/>
        </w:rPr>
      </w:pPr>
      <w:r>
        <w:rPr>
          <w:b/>
        </w:rPr>
        <w:t>Záverečný účet obce za rok 202</w:t>
      </w:r>
      <w:r>
        <w:rPr>
          <w:b/>
        </w:rPr>
        <w:t>5</w:t>
      </w:r>
    </w:p>
    <w:p>
      <w:pPr>
        <w:pStyle w:val="Normal"/>
        <w:jc w:val="both"/>
        <w:rPr>
          <w:b/>
          <w:b/>
          <w:u w:val="single"/>
        </w:rPr>
      </w:pPr>
      <w:r>
        <w:rPr>
          <w:b/>
          <w:u w:val="single"/>
        </w:rPr>
      </w:r>
    </w:p>
    <w:p>
      <w:pPr>
        <w:pStyle w:val="Normal"/>
        <w:jc w:val="both"/>
        <w:rPr>
          <w:b/>
          <w:b/>
          <w:highlight w:val="lightGray"/>
        </w:rPr>
      </w:pPr>
      <w:r>
        <w:rPr>
          <w:b/>
          <w:highlight w:val="lightGray"/>
        </w:rPr>
        <w:t>1. Rozpočet obce na rok 2025</w:t>
      </w:r>
    </w:p>
    <w:p>
      <w:pPr>
        <w:pStyle w:val="Normal"/>
        <w:jc w:val="both"/>
        <w:rPr>
          <w:b/>
          <w:b/>
        </w:rPr>
      </w:pPr>
      <w:r>
        <w:rPr>
          <w:b/>
        </w:rPr>
      </w:r>
    </w:p>
    <w:p>
      <w:pPr>
        <w:pStyle w:val="Normal"/>
        <w:spacing w:lineRule="auto" w:line="360"/>
        <w:ind w:firstLine="708"/>
        <w:jc w:val="both"/>
        <w:rPr/>
      </w:pPr>
      <w:r>
        <w:rPr/>
        <w:t>Základným nástrojom finančného  hospodárenia  obce  bol rozpočet obce   na rok 2025.</w:t>
      </w:r>
    </w:p>
    <w:p>
      <w:pPr>
        <w:pStyle w:val="Normal"/>
        <w:spacing w:lineRule="auto" w:line="360"/>
        <w:ind w:firstLine="708"/>
        <w:jc w:val="both"/>
        <w:rPr/>
      </w:pPr>
      <w:r>
        <w:rPr/>
        <w:t xml:space="preserve">Obec v roku 2025 zostavila rozpočet podľa ustanovenia § 10 odsek 7) zákona č.583/2004 Z.z. o rozpočtových pravidlách územnej samosprávy a o zmene a doplnení niektorých zákonov v znení neskorších predpisov. </w:t>
      </w:r>
    </w:p>
    <w:p>
      <w:pPr>
        <w:pStyle w:val="Normal"/>
        <w:spacing w:lineRule="auto" w:line="360"/>
        <w:jc w:val="both"/>
        <w:rPr/>
      </w:pPr>
      <w:r>
        <w:rPr/>
      </w:r>
    </w:p>
    <w:p>
      <w:pPr>
        <w:pStyle w:val="Normal"/>
        <w:spacing w:lineRule="auto" w:line="360"/>
        <w:jc w:val="both"/>
        <w:rPr/>
      </w:pPr>
      <w:r>
        <w:rPr/>
        <w:t xml:space="preserve">Hospodárenie obce sa riadilo podľa schváleného rozpočtu na rok 2025. </w:t>
      </w:r>
    </w:p>
    <w:p>
      <w:pPr>
        <w:pStyle w:val="Normal"/>
        <w:spacing w:lineRule="auto" w:line="360"/>
        <w:jc w:val="both"/>
        <w:rPr/>
      </w:pPr>
      <w:r>
        <w:rPr/>
        <w:t xml:space="preserve">Rozpočet obce bol schválený obecným zastupiteľstvom </w:t>
      </w:r>
      <w:r>
        <w:rPr>
          <w:rFonts w:eastAsia="Times New Roman" w:cs="Times New Roman"/>
          <w:b/>
          <w:i/>
          <w:color w:val="auto"/>
          <w:kern w:val="0"/>
          <w:sz w:val="24"/>
          <w:szCs w:val="24"/>
          <w:lang w:val="sk-SK" w:eastAsia="sk-SK" w:bidi="ar-SA"/>
        </w:rPr>
        <w:t>15</w:t>
      </w:r>
      <w:r>
        <w:rPr>
          <w:b/>
          <w:i/>
          <w:sz w:val="24"/>
          <w:szCs w:val="24"/>
        </w:rPr>
        <w:t>.01.2025 uznesením č. 41</w:t>
      </w:r>
      <w:r>
        <w:rPr>
          <w:rFonts w:eastAsia="Times New Roman" w:cs="Times New Roman"/>
          <w:b/>
          <w:i/>
          <w:color w:val="auto"/>
          <w:kern w:val="0"/>
          <w:sz w:val="24"/>
          <w:szCs w:val="24"/>
          <w:lang w:val="sk-SK" w:eastAsia="sk-SK" w:bidi="ar-SA"/>
        </w:rPr>
        <w:t>/13</w:t>
      </w:r>
      <w:r>
        <w:rPr>
          <w:b/>
          <w:i/>
          <w:sz w:val="24"/>
          <w:szCs w:val="24"/>
        </w:rPr>
        <w:t>/2025.</w:t>
      </w:r>
    </w:p>
    <w:p>
      <w:pPr>
        <w:pStyle w:val="Normal"/>
        <w:spacing w:lineRule="auto" w:line="360"/>
        <w:jc w:val="both"/>
        <w:rPr/>
      </w:pPr>
      <w:r>
        <w:rPr>
          <w:b/>
          <w:i/>
        </w:rPr>
        <w:t xml:space="preserve"> </w:t>
      </w:r>
    </w:p>
    <w:p>
      <w:pPr>
        <w:pStyle w:val="Normal"/>
        <w:spacing w:lineRule="auto" w:line="360"/>
        <w:jc w:val="both"/>
        <w:rPr/>
      </w:pPr>
      <w:r>
        <w:rPr/>
        <w:t>Zmeny rozpočtu obce realizované nasledovne:</w:t>
      </w:r>
    </w:p>
    <w:p>
      <w:pPr>
        <w:pStyle w:val="Normal"/>
        <w:spacing w:lineRule="auto" w:line="360"/>
        <w:jc w:val="both"/>
        <w:rPr>
          <w:b/>
          <w:b/>
          <w:i/>
          <w:i/>
        </w:rPr>
      </w:pPr>
      <w:r>
        <w:rPr/>
        <w:t xml:space="preserve"> </w:t>
      </w:r>
      <w:r>
        <w:rPr/>
        <w:t xml:space="preserve">-  Rozpočtové opatrenie č. 1 schválené </w:t>
      </w:r>
      <w:r>
        <w:rPr>
          <w:b w:val="false"/>
          <w:bCs w:val="false"/>
          <w:i w:val="false"/>
          <w:iCs w:val="false"/>
          <w:sz w:val="24"/>
          <w:szCs w:val="24"/>
        </w:rPr>
        <w:t xml:space="preserve">OZ dňa </w:t>
      </w:r>
      <w:r>
        <w:rPr>
          <w:rFonts w:eastAsia="Times New Roman" w:cs="Times New Roman"/>
          <w:b w:val="false"/>
          <w:bCs w:val="false"/>
          <w:i w:val="false"/>
          <w:iCs w:val="false"/>
          <w:color w:val="auto"/>
          <w:kern w:val="0"/>
          <w:sz w:val="24"/>
          <w:szCs w:val="24"/>
          <w:lang w:val="sk-SK" w:eastAsia="sk-SK" w:bidi="ar-SA"/>
        </w:rPr>
        <w:t>17</w:t>
      </w:r>
      <w:r>
        <w:rPr>
          <w:b w:val="false"/>
          <w:bCs w:val="false"/>
          <w:i w:val="false"/>
          <w:iCs w:val="false"/>
          <w:sz w:val="24"/>
          <w:szCs w:val="24"/>
        </w:rPr>
        <w:t xml:space="preserve">.09.2025, </w:t>
      </w:r>
      <w:r>
        <w:rPr>
          <w:b/>
          <w:i/>
          <w:sz w:val="24"/>
          <w:szCs w:val="24"/>
        </w:rPr>
        <w:t xml:space="preserve">uznesenie </w:t>
      </w:r>
      <w:r>
        <w:rPr>
          <w:rFonts w:eastAsia="Times New Roman" w:cs="Times New Roman"/>
          <w:b/>
          <w:i/>
          <w:color w:val="auto"/>
          <w:kern w:val="0"/>
          <w:sz w:val="24"/>
          <w:szCs w:val="24"/>
          <w:lang w:val="sk-SK" w:eastAsia="sk-SK" w:bidi="ar-SA"/>
        </w:rPr>
        <w:t>58/16</w:t>
      </w:r>
      <w:r>
        <w:rPr>
          <w:b/>
          <w:i/>
          <w:sz w:val="24"/>
          <w:szCs w:val="24"/>
        </w:rPr>
        <w:t>/2025</w:t>
      </w:r>
    </w:p>
    <w:p>
      <w:pPr>
        <w:pStyle w:val="Normal"/>
        <w:spacing w:lineRule="auto" w:line="360"/>
        <w:jc w:val="both"/>
        <w:rPr>
          <w:b/>
          <w:b/>
          <w:i/>
          <w:i/>
        </w:rPr>
      </w:pPr>
      <w:r>
        <w:rPr>
          <w:b/>
          <w:i/>
        </w:rPr>
        <w:t xml:space="preserve"> </w:t>
      </w:r>
      <w:r>
        <w:rPr/>
        <w:t xml:space="preserve">-  Rozpočtové opatrenie č. 2 schválené </w:t>
      </w:r>
      <w:r>
        <w:rPr>
          <w:b w:val="false"/>
          <w:bCs w:val="false"/>
          <w:i w:val="false"/>
          <w:iCs w:val="false"/>
          <w:sz w:val="24"/>
          <w:szCs w:val="24"/>
        </w:rPr>
        <w:t xml:space="preserve">OZ dňa </w:t>
      </w:r>
      <w:r>
        <w:rPr>
          <w:rFonts w:eastAsia="Times New Roman" w:cs="Times New Roman"/>
          <w:b w:val="false"/>
          <w:bCs w:val="false"/>
          <w:i w:val="false"/>
          <w:iCs w:val="false"/>
          <w:color w:val="auto"/>
          <w:kern w:val="0"/>
          <w:sz w:val="24"/>
          <w:szCs w:val="24"/>
          <w:lang w:val="sk-SK" w:eastAsia="sk-SK" w:bidi="ar-SA"/>
        </w:rPr>
        <w:t>19</w:t>
      </w:r>
      <w:r>
        <w:rPr>
          <w:b w:val="false"/>
          <w:bCs w:val="false"/>
          <w:i w:val="false"/>
          <w:iCs w:val="false"/>
          <w:sz w:val="24"/>
          <w:szCs w:val="24"/>
        </w:rPr>
        <w:t>.</w:t>
      </w:r>
      <w:r>
        <w:rPr>
          <w:rFonts w:eastAsia="Times New Roman" w:cs="Times New Roman"/>
          <w:b w:val="false"/>
          <w:bCs w:val="false"/>
          <w:i w:val="false"/>
          <w:iCs w:val="false"/>
          <w:color w:val="auto"/>
          <w:kern w:val="0"/>
          <w:sz w:val="24"/>
          <w:szCs w:val="24"/>
          <w:lang w:val="sk-SK" w:eastAsia="sk-SK" w:bidi="ar-SA"/>
        </w:rPr>
        <w:t>11</w:t>
      </w:r>
      <w:r>
        <w:rPr>
          <w:b w:val="false"/>
          <w:bCs w:val="false"/>
          <w:i w:val="false"/>
          <w:iCs w:val="false"/>
          <w:sz w:val="24"/>
          <w:szCs w:val="24"/>
        </w:rPr>
        <w:t xml:space="preserve">.2025, </w:t>
      </w:r>
      <w:r>
        <w:rPr>
          <w:b/>
          <w:i/>
          <w:sz w:val="24"/>
          <w:szCs w:val="24"/>
        </w:rPr>
        <w:t xml:space="preserve">uznesenie </w:t>
      </w:r>
      <w:r>
        <w:rPr>
          <w:rFonts w:eastAsia="Times New Roman" w:cs="Times New Roman"/>
          <w:b/>
          <w:i/>
          <w:color w:val="auto"/>
          <w:kern w:val="0"/>
          <w:sz w:val="24"/>
          <w:szCs w:val="24"/>
          <w:lang w:val="sk-SK" w:eastAsia="sk-SK" w:bidi="ar-SA"/>
        </w:rPr>
        <w:t>70/18</w:t>
      </w:r>
      <w:r>
        <w:rPr>
          <w:b/>
          <w:i/>
          <w:sz w:val="24"/>
          <w:szCs w:val="24"/>
        </w:rPr>
        <w:t>/2025</w:t>
      </w:r>
    </w:p>
    <w:p>
      <w:pPr>
        <w:pStyle w:val="Normal"/>
        <w:spacing w:lineRule="auto" w:line="360"/>
        <w:jc w:val="both"/>
        <w:rPr>
          <w:b/>
          <w:b/>
          <w:i/>
          <w:i/>
        </w:rPr>
      </w:pPr>
      <w:r>
        <w:rPr>
          <w:b/>
          <w:i/>
        </w:rPr>
        <w:t xml:space="preserve">-   </w:t>
      </w:r>
      <w:r>
        <w:rPr/>
        <w:t xml:space="preserve">Rozpočtové opatrenie č. 3 schválené </w:t>
      </w:r>
      <w:r>
        <w:rPr>
          <w:b w:val="false"/>
          <w:bCs w:val="false"/>
          <w:i w:val="false"/>
          <w:iCs w:val="false"/>
          <w:sz w:val="24"/>
          <w:szCs w:val="24"/>
        </w:rPr>
        <w:t xml:space="preserve">OZ dňa </w:t>
      </w:r>
      <w:r>
        <w:rPr>
          <w:rFonts w:eastAsia="Times New Roman" w:cs="Times New Roman"/>
          <w:b w:val="false"/>
          <w:bCs w:val="false"/>
          <w:i w:val="false"/>
          <w:iCs w:val="false"/>
          <w:color w:val="auto"/>
          <w:kern w:val="0"/>
          <w:sz w:val="24"/>
          <w:szCs w:val="24"/>
          <w:lang w:val="sk-SK" w:eastAsia="sk-SK" w:bidi="ar-SA"/>
        </w:rPr>
        <w:t>18</w:t>
      </w:r>
      <w:r>
        <w:rPr>
          <w:b w:val="false"/>
          <w:bCs w:val="false"/>
          <w:i w:val="false"/>
          <w:iCs w:val="false"/>
          <w:sz w:val="24"/>
          <w:szCs w:val="24"/>
        </w:rPr>
        <w:t>.</w:t>
      </w:r>
      <w:r>
        <w:rPr>
          <w:rFonts w:eastAsia="Times New Roman" w:cs="Times New Roman"/>
          <w:b w:val="false"/>
          <w:bCs w:val="false"/>
          <w:i w:val="false"/>
          <w:iCs w:val="false"/>
          <w:color w:val="auto"/>
          <w:kern w:val="0"/>
          <w:sz w:val="24"/>
          <w:szCs w:val="24"/>
          <w:lang w:val="sk-SK" w:eastAsia="sk-SK" w:bidi="ar-SA"/>
        </w:rPr>
        <w:t>12</w:t>
      </w:r>
      <w:r>
        <w:rPr>
          <w:b w:val="false"/>
          <w:bCs w:val="false"/>
          <w:i w:val="false"/>
          <w:iCs w:val="false"/>
          <w:sz w:val="24"/>
          <w:szCs w:val="24"/>
        </w:rPr>
        <w:t xml:space="preserve">.2025, </w:t>
      </w:r>
      <w:r>
        <w:rPr>
          <w:b/>
          <w:i/>
          <w:sz w:val="24"/>
          <w:szCs w:val="24"/>
        </w:rPr>
        <w:t xml:space="preserve">uznesenie </w:t>
      </w:r>
      <w:r>
        <w:rPr>
          <w:rFonts w:eastAsia="Times New Roman" w:cs="Times New Roman"/>
          <w:b/>
          <w:i/>
          <w:color w:val="auto"/>
          <w:kern w:val="0"/>
          <w:sz w:val="24"/>
          <w:szCs w:val="24"/>
          <w:lang w:val="sk-SK" w:eastAsia="sk-SK" w:bidi="ar-SA"/>
        </w:rPr>
        <w:t>76/19</w:t>
      </w:r>
      <w:r>
        <w:rPr>
          <w:b/>
          <w:i/>
          <w:sz w:val="24"/>
          <w:szCs w:val="24"/>
        </w:rPr>
        <w:t>/2025</w:t>
      </w:r>
    </w:p>
    <w:p>
      <w:pPr>
        <w:pStyle w:val="Normal"/>
        <w:spacing w:lineRule="auto" w:line="360"/>
        <w:jc w:val="both"/>
        <w:rPr>
          <w:b/>
          <w:b/>
          <w:i/>
          <w:i/>
        </w:rPr>
      </w:pPr>
      <w:r>
        <w:rPr>
          <w:b/>
          <w:i/>
        </w:rPr>
      </w:r>
    </w:p>
    <w:p>
      <w:pPr>
        <w:pStyle w:val="Normal"/>
        <w:spacing w:lineRule="auto" w:line="360"/>
        <w:jc w:val="both"/>
        <w:rPr/>
      </w:pPr>
      <w:r>
        <w:rPr/>
        <w:t xml:space="preserve">Úprava rozpočtu realizovaná ku dňu 31.12.2025. Vykonávanie zmien rozpočtu rozpočtovými opatreniami starostkou, resp. zastupujúcou starostkou obce realizované v priebehu rozpočtového roka – presun bežných príjmov a bežných výdavkov, kapitálových príjmov a kapitálových výdavkov , pričom sa nemení výška celkového bežného a kapitálového rozpočtu. Podmienkou bolo informovanie poslancov starostkou obce predkladaním každej úpravy a zmeny na najbližšom zasadnutí OZ - </w:t>
      </w:r>
      <w:r>
        <w:rPr>
          <w:b/>
          <w:i/>
        </w:rPr>
        <w:t>uznesenie č. 2B.3/2022</w:t>
      </w:r>
    </w:p>
    <w:p>
      <w:pPr>
        <w:pStyle w:val="Normal"/>
        <w:spacing w:lineRule="auto" w:line="360"/>
        <w:jc w:val="both"/>
        <w:rPr>
          <w:b/>
          <w:b/>
          <w:i/>
          <w:i/>
        </w:rPr>
      </w:pPr>
      <w:r>
        <w:rPr>
          <w:b/>
          <w:i/>
        </w:rPr>
      </w:r>
      <w:r>
        <w:br w:type="page"/>
      </w:r>
    </w:p>
    <w:p>
      <w:pPr>
        <w:pStyle w:val="Normal"/>
        <w:jc w:val="center"/>
        <w:rPr>
          <w:b/>
          <w:b/>
        </w:rPr>
      </w:pPr>
      <w:r>
        <w:rPr>
          <w:b/>
        </w:rPr>
        <w:t>Rozpočet obce k 31.12.2025</w:t>
      </w:r>
    </w:p>
    <w:p>
      <w:pPr>
        <w:pStyle w:val="Normal"/>
        <w:jc w:val="both"/>
        <w:rPr/>
      </w:pPr>
      <w:r>
        <w:rPr/>
      </w:r>
    </w:p>
    <w:tbl>
      <w:tblPr>
        <w:tblW w:w="8985" w:type="dxa"/>
        <w:jc w:val="left"/>
        <w:tblInd w:w="304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0" w:lastRow="1" w:firstColumn="1" w:lastColumn="1" w:noHBand="0" w:val="01e0"/>
      </w:tblPr>
      <w:tblGrid>
        <w:gridCol w:w="4275"/>
        <w:gridCol w:w="4709"/>
      </w:tblGrid>
      <w:tr>
        <w:trPr/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widowControl w:val="false"/>
              <w:tabs>
                <w:tab w:val="clear" w:pos="720"/>
                <w:tab w:val="right" w:pos="8460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4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widowControl w:val="false"/>
              <w:tabs>
                <w:tab w:val="clear" w:pos="720"/>
                <w:tab w:val="right" w:pos="8820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Schválený rozpočet</w:t>
            </w:r>
          </w:p>
          <w:p>
            <w:pPr>
              <w:pStyle w:val="Normal"/>
              <w:widowControl w:val="false"/>
              <w:tabs>
                <w:tab w:val="clear" w:pos="720"/>
                <w:tab w:val="right" w:pos="8820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po poslednej zmene</w:t>
            </w:r>
          </w:p>
        </w:tc>
      </w:tr>
      <w:tr>
        <w:trPr/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4BC96" w:val="clear"/>
          </w:tcPr>
          <w:p>
            <w:pPr>
              <w:pStyle w:val="Normal"/>
              <w:widowControl w:val="false"/>
              <w:tabs>
                <w:tab w:val="clear" w:pos="720"/>
                <w:tab w:val="right" w:pos="8460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Príjmy celkom</w:t>
            </w:r>
          </w:p>
        </w:tc>
        <w:tc>
          <w:tcPr>
            <w:tcW w:w="4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4BC96" w:val="clear"/>
          </w:tcPr>
          <w:p>
            <w:pPr>
              <w:pStyle w:val="Normal"/>
              <w:widowControl w:val="false"/>
              <w:tabs>
                <w:tab w:val="clear" w:pos="720"/>
                <w:tab w:val="right" w:pos="8460" w:leader="none"/>
              </w:tabs>
              <w:jc w:val="right"/>
              <w:rPr>
                <w:b/>
                <w:b/>
              </w:rPr>
            </w:pPr>
            <w:r>
              <w:rPr>
                <w:b/>
              </w:rPr>
              <w:t>322 228,85</w:t>
            </w:r>
          </w:p>
        </w:tc>
      </w:tr>
      <w:tr>
        <w:trPr/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20"/>
                <w:tab w:val="right" w:pos="8460" w:leader="none"/>
              </w:tabs>
              <w:jc w:val="both"/>
              <w:rPr/>
            </w:pPr>
            <w:r>
              <w:rPr/>
              <w:t>z toho :</w:t>
            </w:r>
          </w:p>
        </w:tc>
        <w:tc>
          <w:tcPr>
            <w:tcW w:w="4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20"/>
                <w:tab w:val="right" w:pos="8460" w:leader="none"/>
              </w:tabs>
              <w:jc w:val="right"/>
              <w:rPr>
                <w:b/>
                <w:b/>
              </w:rPr>
            </w:pPr>
            <w:r>
              <w:rPr>
                <w:b/>
              </w:rPr>
            </w:r>
          </w:p>
        </w:tc>
      </w:tr>
      <w:tr>
        <w:trPr/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20"/>
                <w:tab w:val="right" w:pos="8460" w:leader="none"/>
              </w:tabs>
              <w:jc w:val="both"/>
              <w:rPr/>
            </w:pPr>
            <w:r>
              <w:rPr/>
              <w:t>Bežné príjmy</w:t>
            </w:r>
          </w:p>
        </w:tc>
        <w:tc>
          <w:tcPr>
            <w:tcW w:w="4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20"/>
                <w:tab w:val="right" w:pos="8460" w:leader="none"/>
              </w:tabs>
              <w:jc w:val="right"/>
              <w:rPr/>
            </w:pPr>
            <w:r>
              <w:rPr/>
              <w:t>291 659,99</w:t>
            </w:r>
          </w:p>
        </w:tc>
      </w:tr>
      <w:tr>
        <w:trPr/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20"/>
                <w:tab w:val="right" w:pos="8460" w:leader="none"/>
              </w:tabs>
              <w:jc w:val="both"/>
              <w:rPr/>
            </w:pPr>
            <w:r>
              <w:rPr/>
              <w:t>Kapitálové príjmy</w:t>
            </w:r>
          </w:p>
        </w:tc>
        <w:tc>
          <w:tcPr>
            <w:tcW w:w="4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20"/>
                <w:tab w:val="right" w:pos="8460" w:leader="none"/>
              </w:tabs>
              <w:jc w:val="right"/>
              <w:rPr/>
            </w:pPr>
            <w:r>
              <w:rPr/>
              <w:t>24 611,45</w:t>
            </w:r>
          </w:p>
        </w:tc>
      </w:tr>
      <w:tr>
        <w:trPr/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20"/>
                <w:tab w:val="right" w:pos="8460" w:leader="none"/>
              </w:tabs>
              <w:jc w:val="both"/>
              <w:rPr/>
            </w:pPr>
            <w:r>
              <w:rPr/>
              <w:t>Finančné operácie</w:t>
            </w:r>
          </w:p>
        </w:tc>
        <w:tc>
          <w:tcPr>
            <w:tcW w:w="4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ind w:left="0" w:hanging="0"/>
              <w:jc w:val="right"/>
              <w:outlineLvl w:val="0"/>
              <w:rPr/>
            </w:pPr>
            <w:r>
              <w:rPr/>
              <w:t>5 957,41</w:t>
            </w:r>
          </w:p>
        </w:tc>
      </w:tr>
      <w:tr>
        <w:trPr/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4BC96" w:val="clear"/>
          </w:tcPr>
          <w:p>
            <w:pPr>
              <w:pStyle w:val="Normal"/>
              <w:widowControl w:val="false"/>
              <w:tabs>
                <w:tab w:val="clear" w:pos="720"/>
                <w:tab w:val="right" w:pos="8460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Výdavky celkom</w:t>
            </w:r>
          </w:p>
        </w:tc>
        <w:tc>
          <w:tcPr>
            <w:tcW w:w="4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4BC96" w:val="clear"/>
          </w:tcPr>
          <w:p>
            <w:pPr>
              <w:pStyle w:val="Normal"/>
              <w:widowControl w:val="false"/>
              <w:tabs>
                <w:tab w:val="clear" w:pos="720"/>
                <w:tab w:val="right" w:pos="8460" w:leader="none"/>
              </w:tabs>
              <w:jc w:val="right"/>
              <w:rPr>
                <w:b/>
                <w:b/>
              </w:rPr>
            </w:pPr>
            <w:r>
              <w:rPr>
                <w:b/>
              </w:rPr>
              <w:t>285 348,35</w:t>
            </w:r>
          </w:p>
        </w:tc>
      </w:tr>
      <w:tr>
        <w:trPr/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20"/>
                <w:tab w:val="right" w:pos="8460" w:leader="none"/>
              </w:tabs>
              <w:jc w:val="both"/>
              <w:rPr/>
            </w:pPr>
            <w:r>
              <w:rPr/>
              <w:t>z toho :</w:t>
            </w:r>
          </w:p>
        </w:tc>
        <w:tc>
          <w:tcPr>
            <w:tcW w:w="4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20"/>
                <w:tab w:val="right" w:pos="8460" w:leader="none"/>
              </w:tabs>
              <w:jc w:val="right"/>
              <w:rPr>
                <w:b/>
                <w:b/>
              </w:rPr>
            </w:pPr>
            <w:r>
              <w:rPr>
                <w:b/>
              </w:rPr>
            </w:r>
          </w:p>
        </w:tc>
      </w:tr>
      <w:tr>
        <w:trPr/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20"/>
                <w:tab w:val="right" w:pos="8460" w:leader="none"/>
              </w:tabs>
              <w:jc w:val="both"/>
              <w:rPr/>
            </w:pPr>
            <w:r>
              <w:rPr/>
              <w:t>Bežné výdavky</w:t>
            </w:r>
          </w:p>
        </w:tc>
        <w:tc>
          <w:tcPr>
            <w:tcW w:w="4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20"/>
                <w:tab w:val="right" w:pos="8460" w:leader="none"/>
              </w:tabs>
              <w:jc w:val="right"/>
              <w:rPr/>
            </w:pPr>
            <w:r>
              <w:rPr/>
              <w:t>274 748,39</w:t>
            </w:r>
          </w:p>
        </w:tc>
      </w:tr>
      <w:tr>
        <w:trPr/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20"/>
                <w:tab w:val="right" w:pos="8460" w:leader="none"/>
              </w:tabs>
              <w:jc w:val="both"/>
              <w:rPr/>
            </w:pPr>
            <w:r>
              <w:rPr/>
              <w:t>Kapitálové výdavky</w:t>
            </w:r>
          </w:p>
        </w:tc>
        <w:tc>
          <w:tcPr>
            <w:tcW w:w="4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20"/>
                <w:tab w:val="right" w:pos="8460" w:leader="none"/>
              </w:tabs>
              <w:jc w:val="right"/>
              <w:rPr/>
            </w:pPr>
            <w:r>
              <w:rPr/>
              <w:t>900,00</w:t>
            </w:r>
          </w:p>
        </w:tc>
      </w:tr>
      <w:tr>
        <w:trPr/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20"/>
                <w:tab w:val="right" w:pos="8460" w:leader="none"/>
              </w:tabs>
              <w:jc w:val="both"/>
              <w:rPr/>
            </w:pPr>
            <w:r>
              <w:rPr/>
              <w:t>Finančné operácie</w:t>
            </w:r>
          </w:p>
        </w:tc>
        <w:tc>
          <w:tcPr>
            <w:tcW w:w="4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20"/>
                <w:tab w:val="right" w:pos="8460" w:leader="none"/>
              </w:tabs>
              <w:jc w:val="right"/>
              <w:rPr/>
            </w:pPr>
            <w:r>
              <w:rPr/>
              <w:t>9 699,96</w:t>
            </w:r>
          </w:p>
        </w:tc>
      </w:tr>
      <w:tr>
        <w:trPr/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4BC96" w:val="clear"/>
          </w:tcPr>
          <w:p>
            <w:pPr>
              <w:pStyle w:val="Normal"/>
              <w:widowControl w:val="false"/>
              <w:tabs>
                <w:tab w:val="clear" w:pos="720"/>
                <w:tab w:val="right" w:pos="8460" w:leader="none"/>
              </w:tabs>
              <w:rPr>
                <w:b/>
                <w:b/>
              </w:rPr>
            </w:pPr>
            <w:r>
              <w:rPr>
                <w:b/>
              </w:rPr>
            </w:r>
          </w:p>
          <w:p>
            <w:pPr>
              <w:pStyle w:val="Normal"/>
              <w:widowControl w:val="false"/>
              <w:tabs>
                <w:tab w:val="clear" w:pos="720"/>
                <w:tab w:val="right" w:pos="8460" w:leader="none"/>
              </w:tabs>
              <w:rPr>
                <w:b/>
                <w:b/>
              </w:rPr>
            </w:pPr>
            <w:r>
              <w:rPr>
                <w:b/>
              </w:rPr>
              <w:t>Rozpočtové hospodárenie obce</w:t>
            </w:r>
          </w:p>
        </w:tc>
        <w:tc>
          <w:tcPr>
            <w:tcW w:w="4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4BC96" w:val="clear"/>
          </w:tcPr>
          <w:p>
            <w:pPr>
              <w:pStyle w:val="Normal"/>
              <w:widowControl w:val="false"/>
              <w:tabs>
                <w:tab w:val="clear" w:pos="720"/>
                <w:tab w:val="right" w:pos="8460" w:leader="none"/>
              </w:tabs>
              <w:jc w:val="right"/>
              <w:rPr>
                <w:b/>
                <w:b/>
              </w:rPr>
            </w:pPr>
            <w:r>
              <w:rPr>
                <w:b/>
              </w:rPr>
              <w:t>36 880,50</w:t>
            </w:r>
          </w:p>
        </w:tc>
      </w:tr>
    </w:tbl>
    <w:p>
      <w:pPr>
        <w:pStyle w:val="Normal"/>
        <w:numPr>
          <w:ilvl w:val="0"/>
          <w:numId w:val="0"/>
        </w:numPr>
        <w:ind w:left="0" w:hanging="0"/>
        <w:outlineLvl w:val="0"/>
        <w:rPr>
          <w:b/>
          <w:b/>
        </w:rPr>
      </w:pPr>
      <w:r>
        <w:rPr>
          <w:b/>
        </w:rPr>
      </w:r>
      <w:r>
        <w:br w:type="page"/>
      </w:r>
    </w:p>
    <w:p>
      <w:pPr>
        <w:pStyle w:val="Normal"/>
        <w:jc w:val="both"/>
        <w:rPr>
          <w:b/>
          <w:b/>
          <w:highlight w:val="lightGray"/>
        </w:rPr>
      </w:pPr>
      <w:r>
        <w:rPr>
          <w:b/>
          <w:highlight w:val="lightGray"/>
        </w:rPr>
        <w:t>2 . Rozbor plnenia príjmov za rok 2025</w:t>
      </w:r>
    </w:p>
    <w:p>
      <w:pPr>
        <w:pStyle w:val="Normal"/>
        <w:rPr>
          <w:b/>
          <w:b/>
          <w:u w:val="single"/>
        </w:rPr>
      </w:pPr>
      <w:r>
        <w:rPr>
          <w:b/>
          <w:u w:val="single"/>
        </w:rPr>
      </w:r>
    </w:p>
    <w:tbl>
      <w:tblPr>
        <w:tblW w:w="8954" w:type="dxa"/>
        <w:jc w:val="left"/>
        <w:tblInd w:w="3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0" w:lastRow="1" w:firstColumn="1" w:lastColumn="1" w:noHBand="0" w:val="01e0"/>
      </w:tblPr>
      <w:tblGrid>
        <w:gridCol w:w="3689"/>
        <w:gridCol w:w="3390"/>
        <w:gridCol w:w="1875"/>
      </w:tblGrid>
      <w:tr>
        <w:trPr/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widowControl w:val="false"/>
              <w:jc w:val="center"/>
              <w:rPr>
                <w:b/>
                <w:b/>
              </w:rPr>
            </w:pPr>
            <w:r>
              <w:rPr>
                <w:b/>
              </w:rPr>
              <w:t>Schválený rozpočet na rok 2025 po poslednej zmene</w:t>
            </w:r>
          </w:p>
        </w:tc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widowControl w:val="false"/>
              <w:jc w:val="center"/>
              <w:rPr>
                <w:b/>
                <w:b/>
              </w:rPr>
            </w:pPr>
            <w:r>
              <w:rPr>
                <w:b/>
              </w:rPr>
              <w:t>Skutočnosť k 31.12.202</w:t>
            </w:r>
            <w:r>
              <w:rPr>
                <w:b/>
              </w:rPr>
              <w:t>5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widowControl w:val="false"/>
              <w:jc w:val="center"/>
              <w:rPr>
                <w:b/>
                <w:b/>
              </w:rPr>
            </w:pPr>
            <w:r>
              <w:rPr>
                <w:b/>
              </w:rPr>
              <w:t>% plnenia</w:t>
            </w:r>
          </w:p>
        </w:tc>
      </w:tr>
      <w:tr>
        <w:trPr/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/>
              <w:t>337 747,00</w:t>
            </w:r>
          </w:p>
        </w:tc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/>
              <w:t>322 228,85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rFonts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  <w:t>95,41</w:t>
            </w:r>
            <w:r>
              <w:rPr/>
              <w:t xml:space="preserve"> %</w:t>
            </w:r>
          </w:p>
        </w:tc>
      </w:tr>
    </w:tbl>
    <w:p>
      <w:pPr>
        <w:pStyle w:val="Normal"/>
        <w:rPr>
          <w:b/>
          <w:b/>
        </w:rPr>
      </w:pPr>
      <w:r>
        <w:rPr>
          <w:b/>
        </w:rPr>
      </w:r>
    </w:p>
    <w:p>
      <w:pPr>
        <w:pStyle w:val="Normal"/>
        <w:spacing w:lineRule="auto" w:line="360"/>
        <w:jc w:val="both"/>
        <w:rPr/>
      </w:pPr>
      <w:r>
        <w:rPr/>
        <w:t>Z rozpočtovaných celkových príjmov 337 747,00 € bol skutočný príjem k 31.12.2025 v sume 322 228,85 €, čo predstavuje  9</w:t>
      </w:r>
      <w:r>
        <w:rPr>
          <w:rFonts w:eastAsia="Times New Roman" w:cs="Times New Roman"/>
          <w:color w:val="auto"/>
          <w:kern w:val="0"/>
          <w:sz w:val="24"/>
          <w:szCs w:val="24"/>
          <w:lang w:val="sk-SK" w:eastAsia="cs-CZ" w:bidi="ar-SA"/>
        </w:rPr>
        <w:t>5,41</w:t>
      </w:r>
      <w:r>
        <w:rPr/>
        <w:t xml:space="preserve"> % plnenie. </w:t>
      </w:r>
    </w:p>
    <w:p>
      <w:pPr>
        <w:pStyle w:val="Normal"/>
        <w:rPr>
          <w:b/>
          <w:b/>
        </w:rPr>
      </w:pPr>
      <w:r>
        <w:rPr>
          <w:b/>
        </w:rPr>
      </w:r>
    </w:p>
    <w:p>
      <w:pPr>
        <w:pStyle w:val="Normal"/>
        <w:numPr>
          <w:ilvl w:val="0"/>
          <w:numId w:val="5"/>
        </w:numPr>
        <w:ind w:left="284" w:hanging="284"/>
        <w:rPr>
          <w:b/>
          <w:b/>
        </w:rPr>
      </w:pPr>
      <w:r>
        <w:rPr>
          <w:b/>
        </w:rPr>
        <w:t>Bežné príjmy</w:t>
      </w:r>
    </w:p>
    <w:p>
      <w:pPr>
        <w:pStyle w:val="Normal"/>
        <w:rPr>
          <w:b/>
          <w:b/>
          <w:color w:val="FF0000"/>
        </w:rPr>
      </w:pPr>
      <w:r>
        <w:rPr>
          <w:b/>
          <w:color w:val="FF0000"/>
        </w:rPr>
      </w:r>
    </w:p>
    <w:tbl>
      <w:tblPr>
        <w:tblW w:w="8954" w:type="dxa"/>
        <w:jc w:val="left"/>
        <w:tblInd w:w="3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0" w:lastRow="1" w:firstColumn="1" w:lastColumn="1" w:noHBand="0" w:val="01e0"/>
      </w:tblPr>
      <w:tblGrid>
        <w:gridCol w:w="3689"/>
        <w:gridCol w:w="3390"/>
        <w:gridCol w:w="1875"/>
      </w:tblGrid>
      <w:tr>
        <w:trPr/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widowControl w:val="false"/>
              <w:jc w:val="center"/>
              <w:rPr>
                <w:b/>
                <w:b/>
              </w:rPr>
            </w:pPr>
            <w:r>
              <w:rPr>
                <w:b/>
              </w:rPr>
              <w:t>Schválený rozpočet na rok 2025 po poslednej zmene</w:t>
            </w:r>
          </w:p>
        </w:tc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widowControl w:val="false"/>
              <w:jc w:val="center"/>
              <w:rPr>
                <w:b/>
                <w:b/>
              </w:rPr>
            </w:pPr>
            <w:r>
              <w:rPr>
                <w:b/>
              </w:rPr>
              <w:t>Skutočnosť k 31.12.2025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widowControl w:val="false"/>
              <w:jc w:val="center"/>
              <w:rPr>
                <w:b/>
                <w:b/>
              </w:rPr>
            </w:pPr>
            <w:r>
              <w:rPr>
                <w:b/>
              </w:rPr>
              <w:t>% plnenia</w:t>
            </w:r>
          </w:p>
        </w:tc>
      </w:tr>
      <w:tr>
        <w:trPr/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/>
            </w:pPr>
            <w:r>
              <w:rPr/>
              <w:t>297 127,00</w:t>
            </w:r>
          </w:p>
        </w:tc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/>
            </w:pPr>
            <w:r>
              <w:rPr/>
              <w:t>291 659,99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rFonts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  <w:t>98,16</w:t>
            </w:r>
            <w:r>
              <w:rPr/>
              <w:t xml:space="preserve"> %</w:t>
            </w:r>
          </w:p>
        </w:tc>
      </w:tr>
    </w:tbl>
    <w:p>
      <w:pPr>
        <w:pStyle w:val="Normal"/>
        <w:rPr>
          <w:b/>
          <w:b/>
          <w:color w:val="FF0000"/>
        </w:rPr>
      </w:pPr>
      <w:r>
        <w:rPr>
          <w:b/>
          <w:color w:val="FF0000"/>
        </w:rPr>
      </w:r>
    </w:p>
    <w:p>
      <w:pPr>
        <w:pStyle w:val="Normal"/>
        <w:spacing w:lineRule="auto" w:line="360"/>
        <w:jc w:val="both"/>
        <w:rPr/>
      </w:pPr>
      <w:r>
        <w:rPr/>
        <w:t xml:space="preserve">Z rozpočtovaných bežných príjmov 297 127,00 € bol skutočný príjem k 31.12.2025 v sume 291 659,99 €, čo predstavuje </w:t>
      </w:r>
      <w:r>
        <w:rPr>
          <w:rFonts w:eastAsia="Times New Roman" w:cs="Times New Roman"/>
          <w:color w:val="auto"/>
          <w:kern w:val="0"/>
          <w:sz w:val="24"/>
          <w:szCs w:val="24"/>
          <w:lang w:val="sk-SK" w:eastAsia="cs-CZ" w:bidi="ar-SA"/>
        </w:rPr>
        <w:t>98,16</w:t>
      </w:r>
      <w:r>
        <w:rPr/>
        <w:t xml:space="preserve"> % plnenie. </w:t>
      </w:r>
    </w:p>
    <w:p>
      <w:pPr>
        <w:pStyle w:val="Normal"/>
        <w:ind w:left="284" w:hanging="0"/>
        <w:rPr/>
      </w:pPr>
      <w:r>
        <w:rPr/>
      </w:r>
    </w:p>
    <w:p>
      <w:pPr>
        <w:pStyle w:val="Normal"/>
        <w:numPr>
          <w:ilvl w:val="0"/>
          <w:numId w:val="6"/>
        </w:numPr>
        <w:ind w:left="284" w:hanging="284"/>
        <w:rPr>
          <w:b/>
          <w:b/>
        </w:rPr>
      </w:pPr>
      <w:r>
        <w:rPr>
          <w:b/>
        </w:rPr>
        <w:t xml:space="preserve">daňové príjmy </w:t>
      </w:r>
    </w:p>
    <w:p>
      <w:pPr>
        <w:pStyle w:val="Normal"/>
        <w:rPr>
          <w:b/>
          <w:b/>
        </w:rPr>
      </w:pPr>
      <w:r>
        <w:rPr>
          <w:b/>
        </w:rPr>
      </w:r>
    </w:p>
    <w:tbl>
      <w:tblPr>
        <w:tblW w:w="8954" w:type="dxa"/>
        <w:jc w:val="left"/>
        <w:tblInd w:w="3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0" w:lastRow="1" w:firstColumn="1" w:lastColumn="1" w:noHBand="0" w:val="01e0"/>
      </w:tblPr>
      <w:tblGrid>
        <w:gridCol w:w="3689"/>
        <w:gridCol w:w="3390"/>
        <w:gridCol w:w="1875"/>
      </w:tblGrid>
      <w:tr>
        <w:trPr/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widowControl w:val="false"/>
              <w:jc w:val="center"/>
              <w:rPr>
                <w:b/>
                <w:b/>
              </w:rPr>
            </w:pPr>
            <w:r>
              <w:rPr>
                <w:b/>
              </w:rPr>
              <w:t>Schválený rozpočet na rok 2025 po poslednej zmene</w:t>
            </w:r>
          </w:p>
        </w:tc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widowControl w:val="false"/>
              <w:jc w:val="center"/>
              <w:rPr>
                <w:b/>
                <w:b/>
              </w:rPr>
            </w:pPr>
            <w:r>
              <w:rPr>
                <w:b/>
              </w:rPr>
              <w:t>Skutočnosť k 31.12.2025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widowControl w:val="false"/>
              <w:jc w:val="center"/>
              <w:rPr>
                <w:b/>
                <w:b/>
              </w:rPr>
            </w:pPr>
            <w:r>
              <w:rPr>
                <w:b/>
              </w:rPr>
              <w:t>% plnenia</w:t>
            </w:r>
          </w:p>
        </w:tc>
      </w:tr>
      <w:tr>
        <w:trPr/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/>
              <w:t>200 750,00</w:t>
            </w:r>
          </w:p>
        </w:tc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/>
              <w:t>198 616,75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rFonts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  <w:t>98,94</w:t>
            </w:r>
            <w:r>
              <w:rPr/>
              <w:t xml:space="preserve"> %</w:t>
            </w:r>
          </w:p>
        </w:tc>
      </w:tr>
    </w:tbl>
    <w:p>
      <w:pPr>
        <w:pStyle w:val="Normal"/>
        <w:jc w:val="both"/>
        <w:rPr>
          <w:b/>
          <w:b/>
        </w:rPr>
      </w:pPr>
      <w:r>
        <w:rPr>
          <w:b/>
        </w:rPr>
      </w:r>
    </w:p>
    <w:p>
      <w:pPr>
        <w:pStyle w:val="Normal"/>
        <w:spacing w:lineRule="auto" w:line="360"/>
        <w:jc w:val="both"/>
        <w:rPr>
          <w:b/>
          <w:b/>
        </w:rPr>
      </w:pPr>
      <w:r>
        <w:rPr>
          <w:b/>
        </w:rPr>
        <w:t xml:space="preserve">Výnos dane z príjmov poukázaný územnej samospráve </w:t>
      </w:r>
    </w:p>
    <w:p>
      <w:pPr>
        <w:pStyle w:val="Normal"/>
        <w:spacing w:lineRule="auto" w:line="360"/>
        <w:jc w:val="both"/>
        <w:rPr/>
      </w:pPr>
      <w:r>
        <w:rPr/>
        <w:t xml:space="preserve">Z rozpočtovaného príjmu po úprave vo výške  172 360,00 € - výnos dane z príjmov poukázaný územnej správe boli k 31.12.2025 poukázané prostriedky zo ŠR vo výške 171 998,82 €, čo predstavuje </w:t>
      </w:r>
      <w:r>
        <w:rPr>
          <w:rFonts w:eastAsia="Times New Roman" w:cs="Times New Roman"/>
          <w:color w:val="auto"/>
          <w:kern w:val="0"/>
          <w:sz w:val="24"/>
          <w:szCs w:val="24"/>
          <w:lang w:val="sk-SK" w:eastAsia="cs-CZ" w:bidi="ar-SA"/>
        </w:rPr>
        <w:t>99,79 %</w:t>
      </w:r>
      <w:r>
        <w:rPr/>
        <w:t xml:space="preserve"> plnenie. Pri schvaľovaní rozpočtu sme vychádzali z východiskových  štatistických údajov a podielu obcí na výnose DPFO na rok 2025 vo výške </w:t>
      </w:r>
      <w:r>
        <w:rPr>
          <w:rFonts w:eastAsia="Times New Roman" w:cs="Times New Roman"/>
          <w:color w:val="auto"/>
          <w:kern w:val="0"/>
          <w:sz w:val="24"/>
          <w:szCs w:val="24"/>
          <w:lang w:val="sk-SK" w:eastAsia="cs-CZ" w:bidi="ar-SA"/>
        </w:rPr>
        <w:t>172</w:t>
      </w:r>
      <w:r>
        <w:rPr/>
        <w:t xml:space="preserve"> 360,00 €.  </w:t>
      </w:r>
      <w:r>
        <w:rPr>
          <w:color w:val="000000"/>
          <w:lang w:eastAsia="sk-SK"/>
        </w:rPr>
        <w:t xml:space="preserve">Podielové dane predstavujú určitý podiel z celkovej vybratej dane štátom, podľa vopred stanoveného kľúča. </w:t>
      </w:r>
    </w:p>
    <w:p>
      <w:pPr>
        <w:pStyle w:val="Normal"/>
        <w:jc w:val="both"/>
        <w:rPr>
          <w:b/>
          <w:b/>
        </w:rPr>
      </w:pPr>
      <w:r>
        <w:rPr>
          <w:b/>
        </w:rPr>
      </w:r>
    </w:p>
    <w:p>
      <w:pPr>
        <w:pStyle w:val="Normal"/>
        <w:spacing w:lineRule="auto" w:line="360"/>
        <w:jc w:val="both"/>
        <w:rPr>
          <w:b/>
          <w:b/>
        </w:rPr>
      </w:pPr>
      <w:r>
        <w:rPr>
          <w:b/>
        </w:rPr>
        <w:t>Daň z nehnuteľností</w:t>
      </w:r>
    </w:p>
    <w:p>
      <w:pPr>
        <w:pStyle w:val="Normal"/>
        <w:spacing w:lineRule="auto" w:line="360"/>
        <w:jc w:val="both"/>
        <w:rPr/>
      </w:pPr>
      <w:r>
        <w:rPr/>
        <w:t>Z rozpočtovaného príjmu 12 750,00 € - daň z nehnuteľností bol skutočný príjem k 31.12.2025 vo výške 12 733,93 €, čo predstavuje  plnenie 99,</w:t>
      </w:r>
      <w:r>
        <w:rPr>
          <w:rFonts w:eastAsia="Times New Roman" w:cs="Times New Roman"/>
          <w:color w:val="auto"/>
          <w:kern w:val="0"/>
          <w:sz w:val="24"/>
          <w:szCs w:val="24"/>
          <w:lang w:val="sk-SK" w:eastAsia="cs-CZ" w:bidi="ar-SA"/>
        </w:rPr>
        <w:t>87</w:t>
      </w:r>
      <w:r>
        <w:rPr/>
        <w:t xml:space="preserve">  %.  Výber dane sa podarilo prekročiť z dôvodu prehodnotenia priznaných rozhodnutí. Vykonanou kontrolou došlo k úprave výmerov pozemkov a stavieb podľa skutočných údajov z katastra. Taktiež sa navýšili príjmy aj z dôvodu schválenia VZN č. 2/2023 o miestnych daniach na území obce Rakovnica dňa 11.12.2023 z dôvodu prerokovania navýšenia sadzieb a poplatkov.</w:t>
      </w:r>
    </w:p>
    <w:p>
      <w:pPr>
        <w:pStyle w:val="Normal"/>
        <w:spacing w:lineRule="auto" w:line="360"/>
        <w:jc w:val="both"/>
        <w:rPr/>
      </w:pPr>
      <w:r>
        <w:rPr/>
      </w:r>
    </w:p>
    <w:p>
      <w:pPr>
        <w:pStyle w:val="Normal"/>
        <w:spacing w:lineRule="auto" w:line="360"/>
        <w:jc w:val="both"/>
        <w:rPr>
          <w:b/>
          <w:b/>
        </w:rPr>
      </w:pPr>
      <w:r>
        <w:rPr>
          <w:b/>
        </w:rPr>
        <w:t xml:space="preserve">Daň za psa  </w:t>
      </w:r>
    </w:p>
    <w:p>
      <w:pPr>
        <w:pStyle w:val="Normal"/>
        <w:spacing w:lineRule="auto" w:line="360"/>
        <w:jc w:val="both"/>
        <w:rPr/>
      </w:pPr>
      <w:r>
        <w:rPr/>
        <w:t xml:space="preserve">Z rozpočtovaného príjmu </w:t>
      </w:r>
      <w:r>
        <w:rPr>
          <w:rFonts w:eastAsia="Times New Roman" w:cs="Times New Roman"/>
          <w:color w:val="auto"/>
          <w:kern w:val="0"/>
          <w:sz w:val="24"/>
          <w:szCs w:val="24"/>
          <w:lang w:val="sk-SK" w:eastAsia="cs-CZ" w:bidi="ar-SA"/>
        </w:rPr>
        <w:t>700</w:t>
      </w:r>
      <w:r>
        <w:rPr/>
        <w:t xml:space="preserve">,00 € - daň za psa bol skutočný príjem k 31.12.2025 vo výške </w:t>
      </w:r>
      <w:r>
        <w:rPr>
          <w:rFonts w:eastAsia="Times New Roman" w:cs="Times New Roman"/>
          <w:color w:val="auto"/>
          <w:kern w:val="0"/>
          <w:sz w:val="24"/>
          <w:szCs w:val="24"/>
          <w:lang w:val="sk-SK" w:eastAsia="cs-CZ" w:bidi="ar-SA"/>
        </w:rPr>
        <w:t>590</w:t>
      </w:r>
      <w:r>
        <w:rPr/>
        <w:t xml:space="preserve">,00 €, čo predstavuje  plnenie </w:t>
      </w:r>
      <w:r>
        <w:rPr>
          <w:rFonts w:eastAsia="Times New Roman" w:cs="Times New Roman"/>
          <w:color w:val="auto"/>
          <w:kern w:val="0"/>
          <w:sz w:val="24"/>
          <w:szCs w:val="24"/>
          <w:lang w:val="sk-SK" w:eastAsia="cs-CZ" w:bidi="ar-SA"/>
        </w:rPr>
        <w:t>84,29</w:t>
      </w:r>
      <w:r>
        <w:rPr/>
        <w:t xml:space="preserve"> %. </w:t>
      </w:r>
    </w:p>
    <w:p>
      <w:pPr>
        <w:pStyle w:val="Normal"/>
        <w:spacing w:lineRule="auto" w:line="360"/>
        <w:jc w:val="both"/>
        <w:rPr>
          <w:b/>
          <w:b/>
        </w:rPr>
      </w:pPr>
      <w:r>
        <w:rPr>
          <w:b/>
        </w:rPr>
      </w:r>
    </w:p>
    <w:p>
      <w:pPr>
        <w:pStyle w:val="Normal"/>
        <w:spacing w:lineRule="auto" w:line="360"/>
        <w:jc w:val="both"/>
        <w:rPr/>
      </w:pPr>
      <w:r>
        <w:rPr>
          <w:b/>
        </w:rPr>
        <w:t xml:space="preserve">Poplatok za komunálny odpad a drobný stavebný odpad </w:t>
      </w:r>
    </w:p>
    <w:p>
      <w:pPr>
        <w:pStyle w:val="Normal"/>
        <w:spacing w:lineRule="auto" w:line="360"/>
        <w:jc w:val="both"/>
        <w:rPr/>
      </w:pPr>
      <w:r>
        <w:rPr/>
        <w:t xml:space="preserve">Z rozpočtovaného príjmu </w:t>
      </w:r>
      <w:r>
        <w:rPr>
          <w:rFonts w:eastAsia="Times New Roman" w:cs="Times New Roman"/>
          <w:color w:val="auto"/>
          <w:kern w:val="0"/>
          <w:sz w:val="24"/>
          <w:szCs w:val="24"/>
          <w:lang w:val="sk-SK" w:eastAsia="cs-CZ" w:bidi="ar-SA"/>
        </w:rPr>
        <w:t>14</w:t>
      </w:r>
      <w:r>
        <w:rPr/>
        <w:t xml:space="preserve"> 350,00 € - poplatok za komunálny odpad a drobný stavebný odpad bol skutočný príjem k 31.12.2025 vo výške </w:t>
      </w:r>
      <w:r>
        <w:rPr>
          <w:rFonts w:eastAsia="Times New Roman" w:cs="Times New Roman"/>
          <w:color w:val="auto"/>
          <w:kern w:val="0"/>
          <w:sz w:val="24"/>
          <w:szCs w:val="24"/>
          <w:lang w:val="sk-SK" w:eastAsia="cs-CZ" w:bidi="ar-SA"/>
        </w:rPr>
        <w:t>12 707,00</w:t>
      </w:r>
      <w:r>
        <w:rPr/>
        <w:t xml:space="preserve"> €, čo predstavuje  plnenie </w:t>
      </w:r>
      <w:r>
        <w:rPr>
          <w:rFonts w:eastAsia="Times New Roman" w:cs="Times New Roman"/>
          <w:color w:val="auto"/>
          <w:kern w:val="0"/>
          <w:sz w:val="24"/>
          <w:szCs w:val="24"/>
          <w:lang w:val="sk-SK" w:eastAsia="cs-CZ" w:bidi="ar-SA"/>
        </w:rPr>
        <w:t>88,55 </w:t>
      </w:r>
      <w:r>
        <w:rPr/>
        <w:t xml:space="preserve">%.  Táto položka neobsahuje hodnotu zakúpených žetónov. V roku 2025 je platobná disciplína na vysokej úrovni, nakoľko obec neeviduje vysoké pohľadávky v oblasti komunálneho odpadu.  V prípade nedostatočného triedenia  si občania mohli  zakúpiť žetóny.  V roku 2025 sa predali žetóny v hodnote </w:t>
      </w:r>
      <w:r>
        <w:rPr>
          <w:rFonts w:eastAsia="Times New Roman" w:cs="Times New Roman"/>
          <w:color w:val="auto"/>
          <w:kern w:val="0"/>
          <w:sz w:val="24"/>
          <w:szCs w:val="24"/>
          <w:lang w:val="sk-SK" w:eastAsia="cs-CZ" w:bidi="ar-SA"/>
        </w:rPr>
        <w:t>587</w:t>
      </w:r>
      <w:r>
        <w:rPr/>
        <w:t>,00 €, čím niektorí občania prejavili nedostatočnú separáciu odpadu.</w:t>
      </w:r>
    </w:p>
    <w:p>
      <w:pPr>
        <w:pStyle w:val="Normal"/>
        <w:jc w:val="both"/>
        <w:rPr>
          <w:b/>
          <w:b/>
          <w:i/>
          <w:i/>
        </w:rPr>
      </w:pPr>
      <w:r>
        <w:rPr>
          <w:b/>
          <w:i/>
        </w:rPr>
      </w:r>
    </w:p>
    <w:p>
      <w:pPr>
        <w:pStyle w:val="Normal"/>
        <w:numPr>
          <w:ilvl w:val="0"/>
          <w:numId w:val="6"/>
        </w:numPr>
        <w:ind w:left="284" w:hanging="284"/>
        <w:rPr>
          <w:b/>
          <w:b/>
        </w:rPr>
      </w:pPr>
      <w:r>
        <w:rPr>
          <w:b/>
        </w:rPr>
        <w:t xml:space="preserve">nedaňové príjmy: </w:t>
      </w:r>
    </w:p>
    <w:p>
      <w:pPr>
        <w:pStyle w:val="Normal"/>
        <w:rPr>
          <w:b/>
          <w:b/>
        </w:rPr>
      </w:pPr>
      <w:r>
        <w:rPr>
          <w:b/>
        </w:rPr>
        <w:t xml:space="preserve"> </w:t>
      </w:r>
    </w:p>
    <w:tbl>
      <w:tblPr>
        <w:tblW w:w="8954" w:type="dxa"/>
        <w:jc w:val="left"/>
        <w:tblInd w:w="3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0" w:lastRow="1" w:firstColumn="1" w:lastColumn="1" w:noHBand="0" w:val="01e0"/>
      </w:tblPr>
      <w:tblGrid>
        <w:gridCol w:w="3689"/>
        <w:gridCol w:w="3390"/>
        <w:gridCol w:w="1875"/>
      </w:tblGrid>
      <w:tr>
        <w:trPr/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widowControl w:val="false"/>
              <w:jc w:val="center"/>
              <w:rPr>
                <w:b/>
                <w:b/>
              </w:rPr>
            </w:pPr>
            <w:r>
              <w:rPr>
                <w:b/>
              </w:rPr>
              <w:t>Schválený rozpočet na rok 2025 po poslednej zmene</w:t>
            </w:r>
          </w:p>
        </w:tc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widowControl w:val="false"/>
              <w:jc w:val="center"/>
              <w:rPr>
                <w:b/>
                <w:b/>
              </w:rPr>
            </w:pPr>
            <w:r>
              <w:rPr>
                <w:b/>
              </w:rPr>
              <w:t>Skutočnosť k 31.12.2025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widowControl w:val="false"/>
              <w:jc w:val="center"/>
              <w:rPr>
                <w:b/>
                <w:b/>
              </w:rPr>
            </w:pPr>
            <w:r>
              <w:rPr>
                <w:b/>
              </w:rPr>
              <w:t>% plnenia</w:t>
            </w:r>
          </w:p>
        </w:tc>
      </w:tr>
      <w:tr>
        <w:trPr/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/>
              <w:t>22 037,00</w:t>
            </w:r>
          </w:p>
        </w:tc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/>
              <w:t>18 915,69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rFonts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  <w:t>85,84</w:t>
            </w:r>
            <w:r>
              <w:rPr/>
              <w:t xml:space="preserve"> %</w:t>
            </w:r>
          </w:p>
        </w:tc>
      </w:tr>
    </w:tbl>
    <w:p>
      <w:pPr>
        <w:pStyle w:val="Normal"/>
        <w:tabs>
          <w:tab w:val="clear" w:pos="720"/>
          <w:tab w:val="right" w:pos="284" w:leader="none"/>
        </w:tabs>
        <w:jc w:val="both"/>
        <w:rPr>
          <w:b/>
          <w:b/>
        </w:rPr>
      </w:pPr>
      <w:r>
        <w:rPr>
          <w:b/>
        </w:rPr>
      </w:r>
    </w:p>
    <w:p>
      <w:pPr>
        <w:pStyle w:val="Normal"/>
        <w:tabs>
          <w:tab w:val="clear" w:pos="720"/>
          <w:tab w:val="right" w:pos="284" w:leader="none"/>
        </w:tabs>
        <w:spacing w:lineRule="auto" w:line="360"/>
        <w:jc w:val="both"/>
        <w:rPr>
          <w:b/>
          <w:b/>
        </w:rPr>
      </w:pPr>
      <w:r>
        <w:rPr>
          <w:b/>
        </w:rPr>
        <w:t>Príjmy z podnikania a z vlastníctva majetku</w:t>
      </w:r>
    </w:p>
    <w:p>
      <w:pPr>
        <w:pStyle w:val="Normal"/>
        <w:spacing w:lineRule="auto" w:line="360"/>
        <w:jc w:val="both"/>
        <w:rPr/>
      </w:pPr>
      <w:r>
        <w:rPr/>
        <w:t xml:space="preserve">Za prenájom budov, priestorov, objektov a strojov z rozpočtovaných </w:t>
      </w:r>
      <w:r>
        <w:rPr>
          <w:rFonts w:eastAsia="Times New Roman" w:cs="Times New Roman"/>
          <w:color w:val="auto"/>
          <w:kern w:val="0"/>
          <w:sz w:val="24"/>
          <w:szCs w:val="24"/>
          <w:lang w:val="sk-SK" w:eastAsia="cs-CZ" w:bidi="ar-SA"/>
        </w:rPr>
        <w:t>6 500</w:t>
      </w:r>
      <w:r>
        <w:rPr/>
        <w:t xml:space="preserve">,00 € bol skutočný príjem k 31.12.2025 vo výške 4 002,00 €, čo predstavuje plnenie </w:t>
      </w:r>
      <w:r>
        <w:rPr>
          <w:rFonts w:eastAsia="Times New Roman" w:cs="Times New Roman"/>
          <w:color w:val="auto"/>
          <w:kern w:val="0"/>
          <w:sz w:val="24"/>
          <w:szCs w:val="24"/>
          <w:lang w:val="sk-SK" w:eastAsia="cs-CZ" w:bidi="ar-SA"/>
        </w:rPr>
        <w:t>61,57</w:t>
      </w:r>
      <w:r>
        <w:rPr/>
        <w:t xml:space="preserve"> %, Do týchto príjmov sme zarátali poplatky za prenájom nebytových priestorov pre spoločnosť  COOP Jednota.  </w:t>
      </w:r>
    </w:p>
    <w:p>
      <w:pPr>
        <w:pStyle w:val="Normal"/>
        <w:spacing w:lineRule="auto" w:line="360"/>
        <w:jc w:val="both"/>
        <w:rPr/>
      </w:pPr>
      <w:r>
        <w:rPr/>
        <w:t>Príjem z dividend nebol rozpočtovaný, plnenie bolo aj v roku 2025 nulové. Z dôvodu neefektívnosti využitia akcií vo VVS sa obecné zastupiteľstvo dňa 30.5.2024 rozhodlo schváliť vstup do Dlhopisového programu Voda spieva 2 a previesť akcie vo VVS a.s. na dlhopisy emitované SLSP a. s., čo nám prinesie do obecného rozpočtu každoročný príjem viac ako 2 500,00 €.</w:t>
      </w:r>
    </w:p>
    <w:p>
      <w:pPr>
        <w:pStyle w:val="Normal"/>
        <w:spacing w:lineRule="auto" w:line="360"/>
        <w:jc w:val="both"/>
        <w:rPr/>
      </w:pPr>
      <w:r>
        <w:rPr/>
        <w:t xml:space="preserve"> </w:t>
      </w:r>
    </w:p>
    <w:p>
      <w:pPr>
        <w:pStyle w:val="Normal"/>
        <w:spacing w:lineRule="auto" w:line="360"/>
        <w:jc w:val="both"/>
        <w:rPr/>
      </w:pPr>
      <w:r>
        <w:rPr/>
      </w:r>
    </w:p>
    <w:p>
      <w:pPr>
        <w:pStyle w:val="Normal"/>
        <w:spacing w:lineRule="auto" w:line="360"/>
        <w:jc w:val="both"/>
        <w:rPr>
          <w:b/>
          <w:b/>
        </w:rPr>
      </w:pPr>
      <w:r>
        <w:rPr>
          <w:b/>
        </w:rPr>
        <w:t>Administratívne poplatky a iné platby</w:t>
      </w:r>
    </w:p>
    <w:p>
      <w:pPr>
        <w:pStyle w:val="Normal"/>
        <w:tabs>
          <w:tab w:val="clear" w:pos="720"/>
          <w:tab w:val="right" w:pos="284" w:leader="none"/>
        </w:tabs>
        <w:spacing w:lineRule="auto" w:line="360"/>
        <w:jc w:val="both"/>
        <w:rPr>
          <w:b/>
          <w:b/>
        </w:rPr>
      </w:pPr>
      <w:r>
        <w:rPr/>
        <w:t>Administratívne poplatky - správne poplatky :</w:t>
      </w:r>
    </w:p>
    <w:p>
      <w:pPr>
        <w:pStyle w:val="Normal"/>
        <w:spacing w:lineRule="auto" w:line="360"/>
        <w:jc w:val="both"/>
        <w:rPr/>
      </w:pPr>
      <w:r>
        <w:rPr/>
        <w:t xml:space="preserve">Z rozpočtovaných príjmov napr. za overovanie podpisov bol rozpočtovaný príjem </w:t>
      </w:r>
      <w:r>
        <w:rPr>
          <w:rFonts w:eastAsia="Times New Roman" w:cs="Times New Roman"/>
          <w:color w:val="auto"/>
          <w:kern w:val="0"/>
          <w:sz w:val="24"/>
          <w:szCs w:val="24"/>
          <w:lang w:val="sk-SK" w:eastAsia="cs-CZ" w:bidi="ar-SA"/>
        </w:rPr>
        <w:t>1 000</w:t>
      </w:r>
      <w:r>
        <w:rPr/>
        <w:t xml:space="preserve">,00 €, skutočný príjem k 31.12.2025 vo výške 977,00 €, čo predstavuje plnenie </w:t>
      </w:r>
      <w:r>
        <w:rPr>
          <w:rFonts w:eastAsia="Times New Roman" w:cs="Times New Roman"/>
          <w:color w:val="auto"/>
          <w:kern w:val="0"/>
          <w:sz w:val="24"/>
          <w:szCs w:val="24"/>
          <w:lang w:val="sk-SK" w:eastAsia="cs-CZ" w:bidi="ar-SA"/>
        </w:rPr>
        <w:t>97,70</w:t>
      </w:r>
      <w:r>
        <w:rPr/>
        <w:t xml:space="preserve"> %.</w:t>
      </w:r>
    </w:p>
    <w:p>
      <w:pPr>
        <w:pStyle w:val="Normal"/>
        <w:spacing w:lineRule="auto" w:line="360"/>
        <w:jc w:val="both"/>
        <w:rPr/>
      </w:pPr>
      <w:r>
        <w:rPr/>
        <w:t>Príjem za rozhlas, príjem za predaj nádob, hrobové miesto, za použitie domu smútku a kultúrneho domu, využitie služobného motorového vozidla  a pod. bol v roku 2025 vo výške 5 231,83 € z rozpočtovaných 5 </w:t>
      </w:r>
      <w:r>
        <w:rPr>
          <w:rFonts w:eastAsia="Times New Roman" w:cs="Times New Roman"/>
          <w:color w:val="auto"/>
          <w:kern w:val="0"/>
          <w:sz w:val="24"/>
          <w:szCs w:val="24"/>
          <w:lang w:val="sk-SK" w:eastAsia="cs-CZ" w:bidi="ar-SA"/>
        </w:rPr>
        <w:t>260</w:t>
      </w:r>
      <w:r>
        <w:rPr/>
        <w:t xml:space="preserve">,00 €, čo predstavuje 99,46 % plnenie. Príjem za vstupy do Domu baníckych tradícií a sprievodu po Náučnom chodníku Mních sú k 31.12.2025 vo výške </w:t>
      </w:r>
      <w:r>
        <w:rPr>
          <w:rFonts w:eastAsia="Times New Roman" w:cs="Times New Roman"/>
          <w:color w:val="auto"/>
          <w:kern w:val="0"/>
          <w:sz w:val="24"/>
          <w:szCs w:val="24"/>
          <w:lang w:val="sk-SK" w:eastAsia="cs-CZ" w:bidi="ar-SA"/>
        </w:rPr>
        <w:t>207,00</w:t>
      </w:r>
      <w:r>
        <w:rPr/>
        <w:t xml:space="preserve"> €. </w:t>
      </w:r>
    </w:p>
    <w:p>
      <w:pPr>
        <w:pStyle w:val="Normal"/>
        <w:spacing w:lineRule="auto" w:line="360"/>
        <w:jc w:val="both"/>
        <w:rPr/>
      </w:pPr>
      <w:r>
        <w:rPr/>
        <w:t xml:space="preserve">V roku 2025 mohli občania využívať prostredníctvom obecného úradu združený vývoz žúmp,  čím si mohli ponížiť náklady na vývoz, nakoľko sa mohli spojiť 2 domácnosti a fakturovanú sumu si rozdeliť. Tieto faktúry však musela uhrádzať obec a refundovať si ich potom od obyvateľov. Celkovo sme objednali združený vývoz a prijali od občanov čiastku </w:t>
      </w:r>
      <w:r>
        <w:rPr>
          <w:rFonts w:eastAsia="Times New Roman" w:cs="Times New Roman"/>
          <w:color w:val="auto"/>
          <w:kern w:val="0"/>
          <w:sz w:val="24"/>
          <w:szCs w:val="24"/>
          <w:lang w:val="sk-SK" w:eastAsia="cs-CZ" w:bidi="ar-SA"/>
        </w:rPr>
        <w:t>1 341</w:t>
      </w:r>
      <w:r>
        <w:rPr/>
        <w:t>,40 €.</w:t>
      </w:r>
    </w:p>
    <w:p>
      <w:pPr>
        <w:pStyle w:val="Normal"/>
        <w:spacing w:lineRule="auto" w:line="360"/>
        <w:jc w:val="both"/>
        <w:rPr/>
      </w:pPr>
      <w:r>
        <w:rPr/>
        <w:t xml:space="preserve">Ďalší príjem bol príjem za stravu od klientov Denného stacionára vo výške 3 435,00 € z rozpočtovaných 3 435,00 €, ktorý vznikol z dôvodu navýšenia celkovej hodnoty stravnej jednotky. </w:t>
      </w:r>
    </w:p>
    <w:p>
      <w:pPr>
        <w:pStyle w:val="Normal"/>
        <w:spacing w:lineRule="auto" w:line="360"/>
        <w:jc w:val="both"/>
        <w:rPr/>
      </w:pPr>
      <w:r>
        <w:rPr/>
      </w:r>
    </w:p>
    <w:p>
      <w:pPr>
        <w:pStyle w:val="Normal"/>
        <w:numPr>
          <w:ilvl w:val="0"/>
          <w:numId w:val="6"/>
        </w:numPr>
        <w:ind w:left="284" w:hanging="284"/>
        <w:rPr>
          <w:b/>
          <w:b/>
        </w:rPr>
      </w:pPr>
      <w:r>
        <w:rPr>
          <w:b/>
        </w:rPr>
        <w:t xml:space="preserve">iné nedaňové príjmy: </w:t>
      </w:r>
    </w:p>
    <w:p>
      <w:pPr>
        <w:pStyle w:val="Normal"/>
        <w:spacing w:lineRule="auto" w:line="360"/>
        <w:jc w:val="both"/>
        <w:rPr/>
      </w:pPr>
      <w:r>
        <w:rPr/>
        <w:t xml:space="preserve">Príjmy z dobropisov boli vo výške  </w:t>
      </w:r>
      <w:r>
        <w:rPr>
          <w:rFonts w:eastAsia="Times New Roman" w:cs="Times New Roman"/>
          <w:color w:val="auto"/>
          <w:kern w:val="0"/>
          <w:sz w:val="24"/>
          <w:szCs w:val="24"/>
          <w:lang w:val="sk-SK" w:eastAsia="cs-CZ" w:bidi="ar-SA"/>
        </w:rPr>
        <w:t>2</w:t>
      </w:r>
      <w:r>
        <w:rPr/>
        <w:t> </w:t>
      </w:r>
      <w:r>
        <w:rPr>
          <w:rFonts w:eastAsia="Times New Roman" w:cs="Times New Roman"/>
          <w:color w:val="auto"/>
          <w:kern w:val="0"/>
          <w:sz w:val="24"/>
          <w:szCs w:val="24"/>
          <w:lang w:val="sk-SK" w:eastAsia="cs-CZ" w:bidi="ar-SA"/>
        </w:rPr>
        <w:t>413</w:t>
      </w:r>
      <w:r>
        <w:rPr/>
        <w:t>,</w:t>
      </w:r>
      <w:r>
        <w:rPr>
          <w:rFonts w:eastAsia="Times New Roman" w:cs="Times New Roman"/>
          <w:color w:val="auto"/>
          <w:kern w:val="0"/>
          <w:sz w:val="24"/>
          <w:szCs w:val="24"/>
          <w:lang w:val="sk-SK" w:eastAsia="cs-CZ" w:bidi="ar-SA"/>
        </w:rPr>
        <w:t>45</w:t>
      </w:r>
      <w:r>
        <w:rPr/>
        <w:t xml:space="preserve"> €, čo predstavuje z plánovaných príjmov 2 420,00 € plnenie </w:t>
      </w:r>
      <w:r>
        <w:rPr>
          <w:rFonts w:eastAsia="Times New Roman" w:cs="Times New Roman"/>
          <w:color w:val="auto"/>
          <w:kern w:val="0"/>
          <w:sz w:val="24"/>
          <w:szCs w:val="24"/>
          <w:lang w:val="sk-SK" w:eastAsia="cs-CZ" w:bidi="ar-SA"/>
        </w:rPr>
        <w:t>99,73</w:t>
      </w:r>
      <w:r>
        <w:rPr/>
        <w:t xml:space="preserve"> %. Dobropisy vznikli z dôvodu úspory energií. Príjem z úroku z vkladu do dlhopisov „Voda spieva II“ bol vo výške 2 4</w:t>
      </w:r>
      <w:r>
        <w:rPr>
          <w:rFonts w:eastAsia="Times New Roman" w:cs="Times New Roman"/>
          <w:color w:val="auto"/>
          <w:kern w:val="0"/>
          <w:sz w:val="24"/>
          <w:szCs w:val="24"/>
          <w:lang w:val="sk-SK" w:eastAsia="cs-CZ" w:bidi="ar-SA"/>
        </w:rPr>
        <w:t>31</w:t>
      </w:r>
      <w:r>
        <w:rPr/>
        <w:t>,53 € z plánovaných 2 852,00 €, čo predstavuje 85,26 % plnenie.</w:t>
      </w:r>
    </w:p>
    <w:p>
      <w:pPr>
        <w:pStyle w:val="Normal"/>
        <w:rPr>
          <w:b/>
          <w:b/>
        </w:rPr>
      </w:pPr>
      <w:r>
        <w:rPr>
          <w:b/>
        </w:rPr>
        <w:t xml:space="preserve"> </w:t>
      </w:r>
    </w:p>
    <w:p>
      <w:pPr>
        <w:pStyle w:val="Normal"/>
        <w:numPr>
          <w:ilvl w:val="0"/>
          <w:numId w:val="6"/>
        </w:numPr>
        <w:ind w:left="284" w:hanging="284"/>
        <w:rPr>
          <w:b/>
          <w:b/>
        </w:rPr>
      </w:pPr>
      <w:r>
        <w:rPr>
          <w:b/>
        </w:rPr>
        <w:t>prijaté granty a transfery</w:t>
      </w:r>
    </w:p>
    <w:p>
      <w:pPr>
        <w:pStyle w:val="Normal"/>
        <w:ind w:left="284" w:hanging="0"/>
        <w:rPr>
          <w:b/>
          <w:b/>
        </w:rPr>
      </w:pPr>
      <w:r>
        <w:rPr>
          <w:b/>
        </w:rPr>
      </w:r>
    </w:p>
    <w:tbl>
      <w:tblPr>
        <w:tblW w:w="8954" w:type="dxa"/>
        <w:jc w:val="left"/>
        <w:tblInd w:w="3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0" w:lastRow="1" w:firstColumn="1" w:lastColumn="1" w:noHBand="0" w:val="01e0"/>
      </w:tblPr>
      <w:tblGrid>
        <w:gridCol w:w="4594"/>
        <w:gridCol w:w="1276"/>
        <w:gridCol w:w="3084"/>
      </w:tblGrid>
      <w:tr>
        <w:trPr/>
        <w:tc>
          <w:tcPr>
            <w:tcW w:w="4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widowControl w:val="false"/>
              <w:jc w:val="center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Poskytovateľ dotácie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widowControl w:val="false"/>
              <w:jc w:val="center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Suma v EUR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widowControl w:val="false"/>
              <w:jc w:val="center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Poznámky</w:t>
            </w:r>
          </w:p>
        </w:tc>
      </w:tr>
      <w:tr>
        <w:trPr>
          <w:trHeight w:val="209" w:hRule="atLeast"/>
        </w:trPr>
        <w:tc>
          <w:tcPr>
            <w:tcW w:w="4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rPr>
                <w:sz w:val="20"/>
                <w:szCs w:val="20"/>
                <w:lang w:eastAsia="sk-SK"/>
              </w:rPr>
            </w:pPr>
            <w:r>
              <w:rPr>
                <w:sz w:val="20"/>
                <w:szCs w:val="20"/>
              </w:rPr>
              <w:t>Granty_sponzoring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jc w:val="right"/>
              <w:rPr>
                <w:color w:val="000000"/>
                <w:sz w:val="20"/>
                <w:szCs w:val="20"/>
                <w:lang w:eastAsia="sk-SK"/>
              </w:rPr>
            </w:pPr>
            <w:r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sk-SK" w:eastAsia="sk-SK" w:bidi="ar-SA"/>
              </w:rPr>
              <w:t>860</w:t>
            </w:r>
            <w:r>
              <w:rPr>
                <w:color w:val="000000"/>
                <w:sz w:val="20"/>
                <w:szCs w:val="20"/>
                <w:lang w:eastAsia="sk-SK"/>
              </w:rPr>
              <w:t>,00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rPr>
                <w:color w:val="FF0000"/>
                <w:sz w:val="20"/>
                <w:szCs w:val="20"/>
                <w:lang w:eastAsia="sk-SK"/>
              </w:rPr>
            </w:pPr>
            <w:r>
              <w:rPr>
                <w:sz w:val="20"/>
                <w:szCs w:val="20"/>
                <w:lang w:eastAsia="sk-SK"/>
              </w:rPr>
              <w:t>Finančné dary</w:t>
            </w:r>
          </w:p>
        </w:tc>
      </w:tr>
      <w:tr>
        <w:trPr/>
        <w:tc>
          <w:tcPr>
            <w:tcW w:w="4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Finančný príspevok na mzdy pre sociálnu prácu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jc w:val="right"/>
              <w:rPr>
                <w:rFonts w:ascii="Times New Roman" w:hAnsi="Times New Roman" w:eastAsia="Times New Roman" w:cs="Times New Roman"/>
                <w:color w:val="000000"/>
                <w:kern w:val="0"/>
                <w:sz w:val="20"/>
                <w:szCs w:val="20"/>
                <w:lang w:val="sk-SK" w:eastAsia="cs-CZ" w:bidi="ar-SA"/>
              </w:rPr>
            </w:pPr>
            <w:r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sk-SK" w:eastAsia="cs-CZ" w:bidi="ar-SA"/>
              </w:rPr>
              <w:t>59 100,00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Mzdy a odvody zamestnancov denného stacionáru</w:t>
            </w:r>
          </w:p>
        </w:tc>
      </w:tr>
      <w:tr>
        <w:trPr/>
        <w:tc>
          <w:tcPr>
            <w:tcW w:w="4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Transf. na prenes.výkon ŠS – register adries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jc w:val="right"/>
              <w:rPr>
                <w:rFonts w:ascii="Times New Roman" w:hAnsi="Times New Roman" w:eastAsia="Times New Roman" w:cs="Times New Roman"/>
                <w:color w:val="000000"/>
                <w:kern w:val="0"/>
                <w:sz w:val="20"/>
                <w:szCs w:val="20"/>
                <w:lang w:val="sk-SK" w:eastAsia="cs-CZ" w:bidi="ar-SA"/>
              </w:rPr>
            </w:pPr>
            <w:r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sk-SK" w:eastAsia="cs-CZ" w:bidi="ar-SA"/>
              </w:rPr>
              <w:t>22,80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prenesený výkon ŠS</w:t>
            </w:r>
          </w:p>
        </w:tc>
      </w:tr>
      <w:tr>
        <w:trPr/>
        <w:tc>
          <w:tcPr>
            <w:tcW w:w="4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Transf. na prenes.výkon ŠS – REGOB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jc w:val="right"/>
              <w:rPr>
                <w:rFonts w:ascii="Times New Roman" w:hAnsi="Times New Roman" w:eastAsia="Times New Roman" w:cs="Times New Roman"/>
                <w:color w:val="000000"/>
                <w:kern w:val="0"/>
                <w:sz w:val="20"/>
                <w:szCs w:val="20"/>
                <w:lang w:val="sk-SK" w:eastAsia="cs-CZ" w:bidi="ar-SA"/>
              </w:rPr>
            </w:pPr>
            <w:r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sk-SK" w:eastAsia="cs-CZ" w:bidi="ar-SA"/>
              </w:rPr>
              <w:t>190,41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prenesený výkon ŠS</w:t>
            </w:r>
          </w:p>
        </w:tc>
      </w:tr>
      <w:tr>
        <w:trPr/>
        <w:tc>
          <w:tcPr>
            <w:tcW w:w="4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Dotácia na vojnové hroby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jc w:val="right"/>
              <w:rPr>
                <w:rFonts w:ascii="Times New Roman" w:hAnsi="Times New Roman" w:eastAsia="Times New Roman" w:cs="Times New Roman"/>
                <w:color w:val="000000"/>
                <w:kern w:val="0"/>
                <w:sz w:val="20"/>
                <w:szCs w:val="20"/>
                <w:lang w:val="sk-SK" w:eastAsia="cs-CZ" w:bidi="ar-SA"/>
              </w:rPr>
            </w:pPr>
            <w:r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sk-SK" w:eastAsia="cs-CZ" w:bidi="ar-SA"/>
              </w:rPr>
              <w:t>140,70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MV SR</w:t>
            </w:r>
          </w:p>
        </w:tc>
      </w:tr>
      <w:tr>
        <w:trPr/>
        <w:tc>
          <w:tcPr>
            <w:tcW w:w="4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Dotácia na dobrovoľnú požiarnu ochranu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jc w:val="right"/>
              <w:rPr>
                <w:rFonts w:ascii="Times New Roman" w:hAnsi="Times New Roman" w:eastAsia="Times New Roman" w:cs="Times New Roman"/>
                <w:color w:val="000000"/>
                <w:kern w:val="0"/>
                <w:sz w:val="20"/>
                <w:szCs w:val="20"/>
                <w:lang w:val="sk-SK" w:eastAsia="cs-CZ" w:bidi="ar-SA"/>
              </w:rPr>
            </w:pPr>
            <w:r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sk-SK" w:eastAsia="cs-CZ" w:bidi="ar-SA"/>
              </w:rPr>
              <w:t>3 000,00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kategorizácia B</w:t>
            </w:r>
          </w:p>
        </w:tc>
      </w:tr>
      <w:tr>
        <w:trPr/>
        <w:tc>
          <w:tcPr>
            <w:tcW w:w="4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Bežné transfery vrámci verejnej správy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jc w:val="right"/>
              <w:rPr>
                <w:rFonts w:ascii="Times New Roman" w:hAnsi="Times New Roman" w:eastAsia="Times New Roman" w:cs="Times New Roman"/>
                <w:color w:val="000000"/>
                <w:kern w:val="0"/>
                <w:sz w:val="20"/>
                <w:szCs w:val="20"/>
                <w:lang w:val="sk-SK" w:eastAsia="cs-CZ" w:bidi="ar-SA"/>
              </w:rPr>
            </w:pPr>
            <w:r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sk-SK" w:eastAsia="cs-CZ" w:bidi="ar-SA"/>
              </w:rPr>
              <w:t>731,26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envirofond</w:t>
            </w:r>
          </w:p>
        </w:tc>
      </w:tr>
      <w:tr>
        <w:trPr/>
        <w:tc>
          <w:tcPr>
            <w:tcW w:w="4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Úhrada časti nákladov - aktivačné práce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jc w:val="right"/>
              <w:rPr>
                <w:rFonts w:ascii="Times New Roman" w:hAnsi="Times New Roman" w:eastAsia="Times New Roman" w:cs="Times New Roman"/>
                <w:color w:val="000000"/>
                <w:kern w:val="0"/>
                <w:sz w:val="20"/>
                <w:szCs w:val="20"/>
                <w:lang w:val="sk-SK" w:eastAsia="cs-CZ" w:bidi="ar-SA"/>
              </w:rPr>
            </w:pPr>
            <w:r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sk-SK" w:eastAsia="cs-CZ" w:bidi="ar-SA"/>
              </w:rPr>
              <w:t>383,22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aktivační pracovníci</w:t>
            </w:r>
          </w:p>
        </w:tc>
      </w:tr>
      <w:tr>
        <w:trPr/>
        <w:tc>
          <w:tcPr>
            <w:tcW w:w="4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Dotácia na </w:t>
            </w:r>
            <w:r>
              <w:rPr>
                <w:rFonts w:eastAsia="Times New Roman" w:cs="Times New Roman"/>
                <w:color w:val="auto"/>
                <w:kern w:val="0"/>
                <w:sz w:val="20"/>
                <w:szCs w:val="20"/>
                <w:lang w:val="sk-SK" w:eastAsia="cs-CZ" w:bidi="ar-SA"/>
              </w:rPr>
              <w:t>odmenu zamestnancov 800 €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6 538,00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rPr>
                <w:rFonts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sk-SK" w:eastAsia="cs-CZ" w:bidi="ar-SA"/>
              </w:rPr>
            </w:pPr>
            <w:r>
              <w:rPr>
                <w:rFonts w:eastAsia="Times New Roman" w:cs="Times New Roman"/>
                <w:color w:val="auto"/>
                <w:kern w:val="0"/>
                <w:sz w:val="20"/>
                <w:szCs w:val="20"/>
                <w:lang w:val="sk-SK" w:eastAsia="cs-CZ" w:bidi="ar-SA"/>
              </w:rPr>
              <w:t>odmena zamestnancov 800 €</w:t>
            </w:r>
          </w:p>
        </w:tc>
      </w:tr>
      <w:tr>
        <w:trPr/>
        <w:tc>
          <w:tcPr>
            <w:tcW w:w="4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Osobitný príjemca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360,00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poukazy pre zraniteľných</w:t>
            </w:r>
          </w:p>
        </w:tc>
      </w:tr>
      <w:tr>
        <w:trPr/>
        <w:tc>
          <w:tcPr>
            <w:tcW w:w="4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rPr>
                <w:rFonts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sk-SK" w:eastAsia="cs-CZ" w:bidi="ar-SA"/>
              </w:rPr>
            </w:pPr>
            <w:r>
              <w:rPr>
                <w:rFonts w:eastAsia="Times New Roman" w:cs="Times New Roman"/>
                <w:color w:val="auto"/>
                <w:kern w:val="0"/>
                <w:sz w:val="20"/>
                <w:szCs w:val="20"/>
                <w:lang w:val="sk-SK" w:eastAsia="cs-CZ" w:bidi="ar-SA"/>
              </w:rPr>
              <w:t>Dotácia CPKE refundácia AED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jc w:val="right"/>
              <w:rPr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sk-SK" w:eastAsia="cs-CZ" w:bidi="ar-SA"/>
              </w:rPr>
              <w:t>130</w:t>
            </w:r>
            <w:r>
              <w:rPr>
                <w:color w:val="000000"/>
                <w:sz w:val="20"/>
                <w:szCs w:val="20"/>
              </w:rPr>
              <w:t>,00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rPr>
                <w:rFonts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sk-SK" w:eastAsia="cs-CZ" w:bidi="ar-SA"/>
              </w:rPr>
            </w:pPr>
            <w:r>
              <w:rPr>
                <w:rFonts w:eastAsia="Times New Roman" w:cs="Times New Roman"/>
                <w:color w:val="auto"/>
                <w:kern w:val="0"/>
                <w:sz w:val="20"/>
                <w:szCs w:val="20"/>
                <w:lang w:val="sk-SK" w:eastAsia="cs-CZ" w:bidi="ar-SA"/>
              </w:rPr>
              <w:t>MV SR – refundácia defibrilátor</w:t>
            </w:r>
          </w:p>
        </w:tc>
      </w:tr>
      <w:tr>
        <w:trPr/>
        <w:tc>
          <w:tcPr>
            <w:tcW w:w="4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Úhrada nákladov prenes.výkonu štátnej správy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jc w:val="right"/>
              <w:rPr>
                <w:rFonts w:ascii="Times New Roman" w:hAnsi="Times New Roman" w:eastAsia="Times New Roman" w:cs="Times New Roman"/>
                <w:color w:val="000000"/>
                <w:kern w:val="0"/>
                <w:sz w:val="20"/>
                <w:szCs w:val="20"/>
                <w:lang w:val="sk-SK" w:eastAsia="cs-CZ" w:bidi="ar-SA"/>
              </w:rPr>
            </w:pPr>
            <w:r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sk-SK" w:eastAsia="cs-CZ" w:bidi="ar-SA"/>
              </w:rPr>
              <w:t>945,75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prenesený výkon ŠS</w:t>
            </w:r>
          </w:p>
        </w:tc>
      </w:tr>
      <w:tr>
        <w:trPr/>
        <w:tc>
          <w:tcPr>
            <w:tcW w:w="45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Dotácia na stabilizačný príspevok zamestnancom DS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jc w:val="right"/>
              <w:rPr>
                <w:rFonts w:ascii="Times New Roman" w:hAnsi="Times New Roman" w:eastAsia="Times New Roman" w:cs="Times New Roman"/>
                <w:color w:val="000000"/>
                <w:kern w:val="0"/>
                <w:sz w:val="20"/>
                <w:szCs w:val="20"/>
                <w:lang w:val="sk-SK" w:eastAsia="cs-CZ" w:bidi="ar-SA"/>
              </w:rPr>
            </w:pPr>
            <w:r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sk-SK" w:eastAsia="cs-CZ" w:bidi="ar-SA"/>
              </w:rPr>
              <w:t>1 600,00</w:t>
            </w:r>
          </w:p>
        </w:tc>
        <w:tc>
          <w:tcPr>
            <w:tcW w:w="30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Stabilizačný príspevok pre zam.DS</w:t>
            </w:r>
          </w:p>
        </w:tc>
      </w:tr>
      <w:tr>
        <w:trPr/>
        <w:tc>
          <w:tcPr>
            <w:tcW w:w="45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Dotácia na životné prostredie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jc w:val="right"/>
              <w:rPr>
                <w:rFonts w:ascii="Times New Roman" w:hAnsi="Times New Roman" w:eastAsia="Times New Roman" w:cs="Times New Roman"/>
                <w:color w:val="000000"/>
                <w:kern w:val="0"/>
                <w:sz w:val="20"/>
                <w:szCs w:val="20"/>
                <w:lang w:val="sk-SK" w:eastAsia="cs-CZ" w:bidi="ar-SA"/>
              </w:rPr>
            </w:pPr>
            <w:r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sk-SK" w:eastAsia="cs-CZ" w:bidi="ar-SA"/>
              </w:rPr>
              <w:t>75,41</w:t>
            </w:r>
          </w:p>
        </w:tc>
        <w:tc>
          <w:tcPr>
            <w:tcW w:w="30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prenesený výkon ŠS</w:t>
            </w:r>
          </w:p>
        </w:tc>
      </w:tr>
      <w:tr>
        <w:trPr/>
        <w:tc>
          <w:tcPr>
            <w:tcW w:w="45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Dotácia od Mikroregiónu Štítnická dolina na Deň obc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jc w:val="right"/>
              <w:rPr>
                <w:rFonts w:ascii="Times New Roman" w:hAnsi="Times New Roman" w:eastAsia="Times New Roman" w:cs="Times New Roman"/>
                <w:color w:val="000000"/>
                <w:kern w:val="0"/>
                <w:sz w:val="20"/>
                <w:szCs w:val="20"/>
                <w:lang w:val="sk-SK" w:eastAsia="cs-CZ" w:bidi="ar-SA"/>
              </w:rPr>
            </w:pPr>
            <w:r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sk-SK" w:eastAsia="cs-CZ" w:bidi="ar-SA"/>
              </w:rPr>
              <w:t>50,00</w:t>
            </w:r>
          </w:p>
        </w:tc>
        <w:tc>
          <w:tcPr>
            <w:tcW w:w="30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Dotácia na Deň obce od MRŠD</w:t>
            </w:r>
          </w:p>
        </w:tc>
      </w:tr>
    </w:tbl>
    <w:p>
      <w:pPr>
        <w:pStyle w:val="Normal"/>
        <w:spacing w:lineRule="auto" w:line="360"/>
        <w:jc w:val="both"/>
        <w:rPr/>
      </w:pPr>
      <w:r>
        <w:rPr/>
      </w:r>
    </w:p>
    <w:p>
      <w:pPr>
        <w:pStyle w:val="Normal"/>
        <w:spacing w:lineRule="auto" w:line="360"/>
        <w:jc w:val="both"/>
        <w:rPr/>
      </w:pPr>
      <w:r>
        <w:rPr/>
        <w:t xml:space="preserve">Granty a transfery boli účelovo určené a boli použité v súlade s ich účelom. Sponzorské finančné príspevky boli vo výške </w:t>
      </w:r>
      <w:r>
        <w:rPr>
          <w:rFonts w:eastAsia="Times New Roman" w:cs="Times New Roman"/>
          <w:color w:val="auto"/>
          <w:kern w:val="0"/>
          <w:sz w:val="24"/>
          <w:szCs w:val="24"/>
          <w:lang w:val="sk-SK" w:eastAsia="cs-CZ" w:bidi="ar-SA"/>
        </w:rPr>
        <w:t>8</w:t>
      </w:r>
      <w:r>
        <w:rPr/>
        <w:t xml:space="preserve">60,00 € na Dom baníckych tradícií a Banský náučný chodník Mních </w:t>
      </w:r>
      <w:r>
        <w:rPr>
          <w:rFonts w:eastAsia="Times New Roman" w:cs="Times New Roman"/>
          <w:color w:val="auto"/>
          <w:kern w:val="0"/>
          <w:sz w:val="24"/>
          <w:szCs w:val="24"/>
          <w:lang w:val="sk-SK" w:eastAsia="cs-CZ" w:bidi="ar-SA"/>
        </w:rPr>
        <w:t>20,00 €,</w:t>
      </w:r>
      <w:r>
        <w:rPr/>
        <w:t xml:space="preserve"> Dni obce 2025, MRŠD a na dary pre deti vo výške </w:t>
      </w:r>
      <w:r>
        <w:rPr>
          <w:rFonts w:eastAsia="Times New Roman" w:cs="Times New Roman"/>
          <w:color w:val="auto"/>
          <w:kern w:val="0"/>
          <w:sz w:val="24"/>
          <w:szCs w:val="24"/>
          <w:lang w:val="sk-SK" w:eastAsia="cs-CZ" w:bidi="ar-SA"/>
        </w:rPr>
        <w:t>840</w:t>
      </w:r>
      <w:r>
        <w:rPr/>
        <w:t>,00 €.</w:t>
      </w:r>
    </w:p>
    <w:p>
      <w:pPr>
        <w:pStyle w:val="Normal"/>
        <w:spacing w:lineRule="auto" w:line="360"/>
        <w:jc w:val="both"/>
        <w:rPr/>
      </w:pPr>
      <w:r>
        <w:rPr/>
        <w:t>Transfer na starostlivosť o životné prostredie  bol prijatý a preposlaný OcÚ Štítnik.</w:t>
      </w:r>
    </w:p>
    <w:p>
      <w:pPr>
        <w:pStyle w:val="Normal"/>
        <w:spacing w:lineRule="auto" w:line="360"/>
        <w:jc w:val="both"/>
        <w:rPr/>
      </w:pPr>
      <w:r>
        <w:rPr/>
        <w:t>Granty od iných subjektov -  ÚPSVaR pre úhradu nákladov na podporu udržania pracovných návykov, ako aj úhrada nákladov na prenesený výkon štátnej správy, t.j. na register obyvateľstva, civilnú obranu a pod.</w:t>
      </w:r>
    </w:p>
    <w:p>
      <w:pPr>
        <w:pStyle w:val="Normal"/>
        <w:spacing w:lineRule="auto" w:line="360"/>
        <w:jc w:val="both"/>
        <w:rPr/>
      </w:pPr>
      <w:r>
        <w:rPr/>
      </w:r>
    </w:p>
    <w:p>
      <w:pPr>
        <w:pStyle w:val="Normal"/>
        <w:numPr>
          <w:ilvl w:val="0"/>
          <w:numId w:val="5"/>
        </w:numPr>
        <w:ind w:left="284" w:hanging="284"/>
        <w:rPr>
          <w:b/>
          <w:b/>
        </w:rPr>
      </w:pPr>
      <w:r>
        <w:rPr>
          <w:b/>
        </w:rPr>
        <w:t xml:space="preserve">Kapitálové príjmy: </w:t>
      </w:r>
    </w:p>
    <w:p>
      <w:pPr>
        <w:pStyle w:val="Normal"/>
        <w:rPr>
          <w:b/>
          <w:b/>
        </w:rPr>
      </w:pPr>
      <w:r>
        <w:rPr>
          <w:b/>
        </w:rPr>
        <w:t xml:space="preserve"> </w:t>
      </w:r>
    </w:p>
    <w:tbl>
      <w:tblPr>
        <w:tblW w:w="8954" w:type="dxa"/>
        <w:jc w:val="left"/>
        <w:tblInd w:w="3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0" w:lastRow="1" w:firstColumn="1" w:lastColumn="1" w:noHBand="0" w:val="01e0"/>
      </w:tblPr>
      <w:tblGrid>
        <w:gridCol w:w="3689"/>
        <w:gridCol w:w="3390"/>
        <w:gridCol w:w="1875"/>
      </w:tblGrid>
      <w:tr>
        <w:trPr/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widowControl w:val="false"/>
              <w:jc w:val="center"/>
              <w:rPr>
                <w:b/>
                <w:b/>
              </w:rPr>
            </w:pPr>
            <w:r>
              <w:rPr>
                <w:b/>
              </w:rPr>
              <w:t>Schválený rozpočet na rok 2025 po poslednej zmene</w:t>
            </w:r>
          </w:p>
        </w:tc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widowControl w:val="false"/>
              <w:jc w:val="center"/>
              <w:rPr>
                <w:b/>
                <w:b/>
              </w:rPr>
            </w:pPr>
            <w:r>
              <w:rPr>
                <w:b/>
              </w:rPr>
              <w:t>Skutočnosť k 31.12.2025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widowControl w:val="false"/>
              <w:jc w:val="center"/>
              <w:rPr>
                <w:b/>
                <w:b/>
              </w:rPr>
            </w:pPr>
            <w:r>
              <w:rPr>
                <w:b/>
              </w:rPr>
              <w:t>% plnenia</w:t>
            </w:r>
          </w:p>
        </w:tc>
      </w:tr>
      <w:tr>
        <w:trPr/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/>
              <w:t>24 620,00</w:t>
            </w:r>
          </w:p>
        </w:tc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/>
              <w:t>24 611,45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/>
              <w:t>99,97 %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spacing w:lineRule="auto" w:line="360"/>
        <w:jc w:val="both"/>
        <w:rPr/>
      </w:pPr>
      <w:r>
        <w:rPr/>
        <w:t>Z rozpočtovaných kapitálových príjmov 24 620,00 € bol skutočný príjem k 31.12.2025 vo výške 24 611,45 €, čo predstavuje plnenie 99,97 %.  Tento príjem je dotácia z MF SR z výjazdového rokovania vlády na úpravu kuchyne v Kultúrnom dome vo výške 6 000,00 € a dotácia z MIRRI na kapitálové výdavky vo výške 18 611,45 €.</w:t>
      </w:r>
    </w:p>
    <w:p>
      <w:pPr>
        <w:pStyle w:val="Normal"/>
        <w:numPr>
          <w:ilvl w:val="0"/>
          <w:numId w:val="0"/>
        </w:numPr>
        <w:spacing w:lineRule="auto" w:line="360"/>
        <w:ind w:left="0" w:hanging="0"/>
        <w:jc w:val="both"/>
        <w:outlineLvl w:val="0"/>
        <w:rPr>
          <w:b/>
          <w:b/>
          <w:bCs/>
        </w:rPr>
      </w:pPr>
      <w:r>
        <w:rPr>
          <w:b/>
          <w:bCs/>
        </w:rPr>
        <w:t xml:space="preserve"> </w:t>
      </w:r>
    </w:p>
    <w:p>
      <w:pPr>
        <w:pStyle w:val="Normal"/>
        <w:numPr>
          <w:ilvl w:val="0"/>
          <w:numId w:val="5"/>
        </w:numPr>
        <w:ind w:left="284" w:hanging="284"/>
        <w:rPr>
          <w:b/>
          <w:b/>
        </w:rPr>
      </w:pPr>
      <w:r>
        <w:rPr>
          <w:b/>
        </w:rPr>
        <w:t xml:space="preserve">Príjmové finančné operácie: </w:t>
      </w:r>
    </w:p>
    <w:p>
      <w:pPr>
        <w:pStyle w:val="Normal"/>
        <w:rPr>
          <w:b/>
          <w:b/>
        </w:rPr>
      </w:pPr>
      <w:r>
        <w:rPr>
          <w:b/>
        </w:rPr>
        <w:t xml:space="preserve"> </w:t>
      </w:r>
    </w:p>
    <w:tbl>
      <w:tblPr>
        <w:tblW w:w="8954" w:type="dxa"/>
        <w:jc w:val="left"/>
        <w:tblInd w:w="3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0" w:lastRow="1" w:firstColumn="1" w:lastColumn="1" w:noHBand="0" w:val="01e0"/>
      </w:tblPr>
      <w:tblGrid>
        <w:gridCol w:w="3689"/>
        <w:gridCol w:w="3390"/>
        <w:gridCol w:w="1875"/>
      </w:tblGrid>
      <w:tr>
        <w:trPr/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widowControl w:val="false"/>
              <w:jc w:val="center"/>
              <w:rPr>
                <w:b/>
                <w:b/>
              </w:rPr>
            </w:pPr>
            <w:r>
              <w:rPr>
                <w:b/>
              </w:rPr>
              <w:t>Schválený rozpočet na rok 2025 po poslednej zmene</w:t>
            </w:r>
          </w:p>
        </w:tc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widowControl w:val="false"/>
              <w:jc w:val="center"/>
              <w:rPr>
                <w:b/>
                <w:b/>
              </w:rPr>
            </w:pPr>
            <w:r>
              <w:rPr>
                <w:b/>
              </w:rPr>
              <w:t>Skutočnosť k 31.12.2025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widowControl w:val="false"/>
              <w:jc w:val="center"/>
              <w:rPr>
                <w:b/>
                <w:b/>
              </w:rPr>
            </w:pPr>
            <w:r>
              <w:rPr>
                <w:b/>
              </w:rPr>
              <w:t>% plnenia</w:t>
            </w:r>
          </w:p>
        </w:tc>
      </w:tr>
      <w:tr>
        <w:trPr/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/>
              <w:t>16 000,00</w:t>
            </w:r>
          </w:p>
        </w:tc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/>
              <w:t>5 957,41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rFonts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  <w:t>37,23</w:t>
            </w:r>
            <w:r>
              <w:rPr/>
              <w:t xml:space="preserve"> %</w:t>
            </w:r>
          </w:p>
        </w:tc>
      </w:tr>
    </w:tbl>
    <w:p>
      <w:pPr>
        <w:pStyle w:val="Normal"/>
        <w:jc w:val="both"/>
        <w:rPr/>
      </w:pPr>
      <w:r>
        <w:rPr/>
      </w:r>
    </w:p>
    <w:p>
      <w:pPr>
        <w:pStyle w:val="Normal"/>
        <w:spacing w:lineRule="auto" w:line="360"/>
        <w:jc w:val="both"/>
        <w:rPr/>
      </w:pPr>
      <w:r>
        <w:rPr/>
        <w:t xml:space="preserve">Z rozpočtovaných príjmových finančných operácií 16 000,00 € bol skutočný príjem k 31.12.2025 v sume 5 957,41 € čo predstavuje </w:t>
      </w:r>
      <w:r>
        <w:rPr>
          <w:rFonts w:eastAsia="Times New Roman" w:cs="Times New Roman"/>
          <w:color w:val="auto"/>
          <w:kern w:val="0"/>
          <w:sz w:val="24"/>
          <w:szCs w:val="24"/>
          <w:lang w:val="sk-SK" w:eastAsia="cs-CZ" w:bidi="ar-SA"/>
        </w:rPr>
        <w:t>37,23</w:t>
      </w:r>
      <w:r>
        <w:rPr/>
        <w:t xml:space="preserve"> % plnenie. Tieto finančné operácie pozostávajú z prevodu prostriedkov rezervného fondu obce, z prijatých úverov a návratných finančných prostriedkov za účelom zhodnotenia majetku obce. </w:t>
      </w:r>
    </w:p>
    <w:p>
      <w:pPr>
        <w:pStyle w:val="Normal"/>
        <w:spacing w:lineRule="auto" w:line="360"/>
        <w:jc w:val="both"/>
        <w:rPr/>
      </w:pPr>
      <w:r>
        <w:rPr/>
      </w:r>
    </w:p>
    <w:p>
      <w:pPr>
        <w:pStyle w:val="Normal"/>
        <w:spacing w:lineRule="auto" w:line="360"/>
        <w:jc w:val="both"/>
        <w:rPr/>
      </w:pPr>
      <w:r>
        <w:rPr/>
      </w:r>
    </w:p>
    <w:p>
      <w:pPr>
        <w:pStyle w:val="Normal"/>
        <w:spacing w:lineRule="auto" w:line="360"/>
        <w:jc w:val="both"/>
        <w:rPr>
          <w:b/>
          <w:b/>
          <w:highlight w:val="lightGray"/>
        </w:rPr>
      </w:pPr>
      <w:r>
        <w:rPr>
          <w:b/>
          <w:highlight w:val="lightGray"/>
        </w:rPr>
        <w:t>3. Rozbor čerpania výdavkov za rok 2025</w:t>
      </w:r>
    </w:p>
    <w:p>
      <w:pPr>
        <w:pStyle w:val="Normal"/>
        <w:rPr>
          <w:b/>
          <w:b/>
        </w:rPr>
      </w:pPr>
      <w:r>
        <w:rPr>
          <w:b/>
        </w:rPr>
      </w:r>
    </w:p>
    <w:tbl>
      <w:tblPr>
        <w:tblW w:w="8954" w:type="dxa"/>
        <w:jc w:val="left"/>
        <w:tblInd w:w="3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0" w:lastRow="1" w:firstColumn="1" w:lastColumn="1" w:noHBand="0" w:val="01e0"/>
      </w:tblPr>
      <w:tblGrid>
        <w:gridCol w:w="3689"/>
        <w:gridCol w:w="3390"/>
        <w:gridCol w:w="1875"/>
      </w:tblGrid>
      <w:tr>
        <w:trPr/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widowControl w:val="false"/>
              <w:jc w:val="center"/>
              <w:rPr>
                <w:b/>
                <w:b/>
              </w:rPr>
            </w:pPr>
            <w:r>
              <w:rPr>
                <w:b/>
              </w:rPr>
              <w:t>Schválený rozpočet na rok 2025 po poslednej zmene</w:t>
            </w:r>
          </w:p>
        </w:tc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widowControl w:val="false"/>
              <w:jc w:val="center"/>
              <w:rPr>
                <w:b/>
                <w:b/>
              </w:rPr>
            </w:pPr>
            <w:r>
              <w:rPr>
                <w:b/>
              </w:rPr>
              <w:t>Skutočnosť k 31.12.2025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widowControl w:val="false"/>
              <w:jc w:val="center"/>
              <w:rPr>
                <w:b/>
                <w:b/>
              </w:rPr>
            </w:pPr>
            <w:r>
              <w:rPr>
                <w:b/>
              </w:rPr>
              <w:t>% čerpania</w:t>
            </w:r>
          </w:p>
        </w:tc>
      </w:tr>
      <w:tr>
        <w:trPr/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/>
              <w:t>291 482,00</w:t>
            </w:r>
          </w:p>
        </w:tc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/>
              <w:t>285 348,35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</w:pPr>
            <w:r>
              <w:rPr>
                <w:rFonts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  <w:t>97,90 %</w:t>
            </w:r>
          </w:p>
        </w:tc>
      </w:tr>
    </w:tbl>
    <w:p>
      <w:pPr>
        <w:pStyle w:val="Normal"/>
        <w:ind w:left="360" w:hanging="0"/>
        <w:jc w:val="both"/>
        <w:rPr/>
      </w:pPr>
      <w:r>
        <w:rPr/>
      </w:r>
    </w:p>
    <w:p>
      <w:pPr>
        <w:pStyle w:val="Normal"/>
        <w:spacing w:lineRule="auto" w:line="360"/>
        <w:jc w:val="both"/>
        <w:rPr/>
      </w:pPr>
      <w:r>
        <w:rPr/>
        <w:t xml:space="preserve">Rozpočet obce bol schválený obecným zastupiteľstvom vo výške 639 185,00 </w:t>
      </w:r>
      <w:r>
        <w:rPr>
          <w:rFonts w:eastAsia="Times New Roman" w:cs="Times New Roman"/>
          <w:color w:val="auto"/>
          <w:kern w:val="0"/>
          <w:sz w:val="24"/>
          <w:szCs w:val="24"/>
          <w:lang w:val="sk-SK" w:eastAsia="cs-CZ" w:bidi="ar-SA"/>
        </w:rPr>
        <w:t xml:space="preserve">€ </w:t>
      </w:r>
      <w:r>
        <w:rPr/>
        <w:t xml:space="preserve">, rozpočtovými opatreniami sa </w:t>
      </w:r>
      <w:r>
        <w:rPr>
          <w:rFonts w:eastAsia="Times New Roman" w:cs="Times New Roman"/>
          <w:color w:val="auto"/>
          <w:kern w:val="0"/>
          <w:sz w:val="24"/>
          <w:szCs w:val="24"/>
          <w:lang w:val="sk-SK" w:eastAsia="cs-CZ" w:bidi="ar-SA"/>
        </w:rPr>
        <w:t>znížil</w:t>
      </w:r>
      <w:r>
        <w:rPr/>
        <w:t xml:space="preserve"> na sumu 291 482,00 eur.   Skutočné čerpanie výdavkov k 31.12.2025 bolo vo výške 285 348,35 Eur, čo predstavuje čerpanie </w:t>
      </w:r>
      <w:r>
        <w:rPr>
          <w:rFonts w:eastAsia="Times New Roman" w:cs="Times New Roman"/>
          <w:color w:val="auto"/>
          <w:kern w:val="0"/>
          <w:sz w:val="24"/>
          <w:szCs w:val="24"/>
          <w:lang w:val="sk-SK" w:eastAsia="cs-CZ" w:bidi="ar-SA"/>
        </w:rPr>
        <w:t xml:space="preserve">97,90 </w:t>
      </w:r>
      <w:r>
        <w:rPr/>
        <w:t>%. Výdavky sa členili na bežné, kapitálové a finančné operácie.</w:t>
      </w:r>
    </w:p>
    <w:p>
      <w:pPr>
        <w:pStyle w:val="Normal"/>
        <w:rPr/>
      </w:pPr>
      <w:r>
        <w:rPr/>
      </w:r>
    </w:p>
    <w:p>
      <w:pPr>
        <w:pStyle w:val="Normal"/>
        <w:numPr>
          <w:ilvl w:val="0"/>
          <w:numId w:val="7"/>
        </w:numPr>
        <w:ind w:left="284" w:hanging="284"/>
        <w:rPr>
          <w:b/>
          <w:b/>
        </w:rPr>
      </w:pPr>
      <w:r>
        <w:rPr>
          <w:b/>
        </w:rPr>
        <w:t xml:space="preserve">Bežné výdavky </w:t>
      </w:r>
    </w:p>
    <w:p>
      <w:pPr>
        <w:pStyle w:val="Normal"/>
        <w:ind w:left="284" w:hanging="0"/>
        <w:rPr>
          <w:b/>
          <w:b/>
        </w:rPr>
      </w:pPr>
      <w:r>
        <w:rPr>
          <w:b/>
        </w:rPr>
      </w:r>
    </w:p>
    <w:tbl>
      <w:tblPr>
        <w:tblW w:w="8954" w:type="dxa"/>
        <w:jc w:val="left"/>
        <w:tblInd w:w="3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0" w:lastRow="1" w:firstColumn="1" w:lastColumn="1" w:noHBand="0" w:val="01e0"/>
      </w:tblPr>
      <w:tblGrid>
        <w:gridCol w:w="3689"/>
        <w:gridCol w:w="3390"/>
        <w:gridCol w:w="1875"/>
      </w:tblGrid>
      <w:tr>
        <w:trPr/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widowControl w:val="false"/>
              <w:jc w:val="center"/>
              <w:rPr>
                <w:b/>
                <w:b/>
              </w:rPr>
            </w:pPr>
            <w:r>
              <w:rPr>
                <w:b/>
              </w:rPr>
              <w:t xml:space="preserve"> </w:t>
            </w:r>
            <w:r>
              <w:rPr>
                <w:b/>
              </w:rPr>
              <w:t>Schválený rozpočet na rok 2025 po poslednej zmene</w:t>
            </w:r>
          </w:p>
        </w:tc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widowControl w:val="false"/>
              <w:jc w:val="center"/>
              <w:rPr>
                <w:b/>
                <w:b/>
              </w:rPr>
            </w:pPr>
            <w:r>
              <w:rPr>
                <w:b/>
              </w:rPr>
              <w:t>Skutočnosť k 31.12.2025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widowControl w:val="false"/>
              <w:jc w:val="center"/>
              <w:rPr>
                <w:b/>
                <w:b/>
              </w:rPr>
            </w:pPr>
            <w:r>
              <w:rPr>
                <w:b/>
              </w:rPr>
              <w:t>% čerpania</w:t>
            </w:r>
          </w:p>
        </w:tc>
      </w:tr>
      <w:tr>
        <w:trPr/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/>
              <w:t>280 882,00</w:t>
            </w:r>
          </w:p>
        </w:tc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/>
              <w:t>274 748,39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</w:pPr>
            <w:r>
              <w:rPr>
                <w:rFonts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  <w:t>97,82 %</w:t>
            </w:r>
          </w:p>
        </w:tc>
      </w:tr>
    </w:tbl>
    <w:p>
      <w:pPr>
        <w:pStyle w:val="Normal"/>
        <w:jc w:val="both"/>
        <w:rPr/>
      </w:pPr>
      <w:r>
        <w:rPr/>
      </w:r>
    </w:p>
    <w:p>
      <w:pPr>
        <w:pStyle w:val="Normal"/>
        <w:spacing w:lineRule="auto" w:line="360"/>
        <w:jc w:val="both"/>
        <w:rPr/>
      </w:pPr>
      <w:r>
        <w:rPr/>
        <w:t>Z rozpočtovaných bežných výdavkov 280 882,00 € bolo k 31.12.202</w:t>
      </w:r>
      <w:r>
        <w:rPr/>
        <w:t>5</w:t>
      </w:r>
      <w:r>
        <w:rPr/>
        <w:t xml:space="preserve"> skutočne čerpané 274 748,39 €, čo predstavuje  čerpanie </w:t>
      </w:r>
      <w:r>
        <w:rPr>
          <w:rFonts w:eastAsia="Times New Roman" w:cs="Times New Roman"/>
          <w:color w:val="auto"/>
          <w:kern w:val="0"/>
          <w:sz w:val="24"/>
          <w:szCs w:val="24"/>
          <w:lang w:val="sk-SK" w:eastAsia="cs-CZ" w:bidi="ar-SA"/>
        </w:rPr>
        <w:t>97,82</w:t>
      </w:r>
      <w:r>
        <w:rPr/>
        <w:t xml:space="preserve">  %.  Výdavky sme členili na  nasledovné kategórie:</w:t>
      </w:r>
    </w:p>
    <w:tbl>
      <w:tblPr>
        <w:tblW w:w="8955" w:type="dxa"/>
        <w:jc w:val="left"/>
        <w:tblInd w:w="3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0" w:lastRow="1" w:firstColumn="1" w:lastColumn="1" w:noHBand="0" w:val="01e0"/>
      </w:tblPr>
      <w:tblGrid>
        <w:gridCol w:w="3690"/>
        <w:gridCol w:w="3388"/>
        <w:gridCol w:w="1877"/>
      </w:tblGrid>
      <w:tr>
        <w:trPr>
          <w:trHeight w:val="331" w:hRule="atLeast"/>
        </w:trPr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widowControl w:val="false"/>
              <w:jc w:val="center"/>
              <w:rPr>
                <w:b/>
                <w:b/>
              </w:rPr>
            </w:pPr>
            <w:r>
              <w:rPr>
                <w:b/>
              </w:rPr>
              <w:t>Funkčná klasifikácia</w:t>
            </w:r>
          </w:p>
        </w:tc>
        <w:tc>
          <w:tcPr>
            <w:tcW w:w="3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widowControl w:val="false"/>
              <w:jc w:val="center"/>
              <w:rPr>
                <w:b/>
                <w:b/>
              </w:rPr>
            </w:pPr>
            <w:r>
              <w:rPr>
                <w:b/>
              </w:rPr>
              <w:t>Rozpočet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widowControl w:val="false"/>
              <w:jc w:val="center"/>
              <w:rPr>
                <w:b/>
                <w:b/>
              </w:rPr>
            </w:pPr>
            <w:r>
              <w:rPr>
                <w:b/>
              </w:rPr>
              <w:t>Skutočnosť</w:t>
            </w:r>
          </w:p>
        </w:tc>
      </w:tr>
      <w:tr>
        <w:trPr>
          <w:trHeight w:val="283" w:hRule="atLeast"/>
        </w:trPr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  <w:t>0111 – Správa úradu</w:t>
            </w:r>
          </w:p>
        </w:tc>
        <w:tc>
          <w:tcPr>
            <w:tcW w:w="3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1</w:t>
            </w:r>
            <w:r>
              <w:rPr>
                <w:rFonts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  <w:t>03</w:t>
            </w:r>
            <w:r>
              <w:rPr/>
              <w:t> 109,00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102 628,81</w:t>
            </w:r>
          </w:p>
        </w:tc>
      </w:tr>
      <w:tr>
        <w:trPr>
          <w:trHeight w:val="283" w:hRule="atLeast"/>
        </w:trPr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  <w:t>0160 – Voľby</w:t>
            </w:r>
          </w:p>
        </w:tc>
        <w:tc>
          <w:tcPr>
            <w:tcW w:w="3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>
                <w:rFonts w:ascii="Times New Roman" w:hAnsi="Times New Roman"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</w:pPr>
            <w:r>
              <w:rPr>
                <w:rFonts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  <w:t>0,00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>
                <w:rFonts w:ascii="Times New Roman" w:hAnsi="Times New Roman"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</w:pPr>
            <w:r>
              <w:rPr>
                <w:rFonts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  <w:t>0,00</w:t>
            </w:r>
          </w:p>
        </w:tc>
      </w:tr>
      <w:tr>
        <w:trPr>
          <w:trHeight w:val="283" w:hRule="atLeast"/>
        </w:trPr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  <w:t>0320 – Požiarna ochrana</w:t>
            </w:r>
          </w:p>
        </w:tc>
        <w:tc>
          <w:tcPr>
            <w:tcW w:w="3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6 </w:t>
            </w:r>
            <w:r>
              <w:rPr>
                <w:rFonts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  <w:t>940</w:t>
            </w:r>
            <w:r>
              <w:rPr/>
              <w:t>,00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6 </w:t>
            </w:r>
            <w:r>
              <w:rPr>
                <w:rFonts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  <w:t>797,46</w:t>
            </w:r>
          </w:p>
        </w:tc>
      </w:tr>
      <w:tr>
        <w:trPr>
          <w:trHeight w:val="283" w:hRule="atLeast"/>
        </w:trPr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  <w:t>0451 – Miestne komunikácie</w:t>
            </w:r>
          </w:p>
        </w:tc>
        <w:tc>
          <w:tcPr>
            <w:tcW w:w="3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>
                <w:rFonts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  <w:t>20</w:t>
            </w:r>
            <w:r>
              <w:rPr/>
              <w:t>,00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>
                <w:rFonts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  <w:t>20</w:t>
            </w:r>
            <w:r>
              <w:rPr/>
              <w:t>,00</w:t>
            </w:r>
          </w:p>
        </w:tc>
      </w:tr>
      <w:tr>
        <w:trPr>
          <w:trHeight w:val="283" w:hRule="atLeast"/>
        </w:trPr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  <w:t>0510 – Nakladanie s odpadmi</w:t>
            </w:r>
          </w:p>
        </w:tc>
        <w:tc>
          <w:tcPr>
            <w:tcW w:w="3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26 735,00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26 </w:t>
            </w:r>
            <w:r>
              <w:rPr>
                <w:rFonts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  <w:t>722,54</w:t>
            </w:r>
          </w:p>
        </w:tc>
      </w:tr>
      <w:tr>
        <w:trPr>
          <w:trHeight w:val="283" w:hRule="atLeast"/>
        </w:trPr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  <w:t>0620 – Rozvoj obcí</w:t>
            </w:r>
          </w:p>
        </w:tc>
        <w:tc>
          <w:tcPr>
            <w:tcW w:w="3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1</w:t>
            </w:r>
            <w:r>
              <w:rPr>
                <w:rFonts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  <w:t>6</w:t>
            </w:r>
            <w:r>
              <w:rPr/>
              <w:t> </w:t>
            </w:r>
            <w:r>
              <w:rPr>
                <w:rFonts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  <w:t>545</w:t>
            </w:r>
            <w:r>
              <w:rPr/>
              <w:t>,00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1</w:t>
            </w:r>
            <w:r>
              <w:rPr>
                <w:rFonts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  <w:t>6</w:t>
            </w:r>
            <w:r>
              <w:rPr/>
              <w:t> </w:t>
            </w:r>
            <w:r>
              <w:rPr>
                <w:rFonts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  <w:t>052,12</w:t>
            </w:r>
          </w:p>
        </w:tc>
      </w:tr>
      <w:tr>
        <w:trPr>
          <w:trHeight w:val="283" w:hRule="atLeast"/>
        </w:trPr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  <w:t>0640 – Verejné osvetlenie</w:t>
            </w:r>
          </w:p>
        </w:tc>
        <w:tc>
          <w:tcPr>
            <w:tcW w:w="3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>
                <w:rFonts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  <w:t>1</w:t>
            </w:r>
            <w:r>
              <w:rPr/>
              <w:t> 6</w:t>
            </w:r>
            <w:r>
              <w:rPr>
                <w:rFonts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  <w:t>20</w:t>
            </w:r>
            <w:r>
              <w:rPr/>
              <w:t>,00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>
                <w:rFonts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  <w:t>1</w:t>
            </w:r>
            <w:r>
              <w:rPr/>
              <w:t> 5</w:t>
            </w:r>
            <w:r>
              <w:rPr>
                <w:rFonts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  <w:t>93</w:t>
            </w:r>
            <w:r>
              <w:rPr/>
              <w:t>,</w:t>
            </w:r>
            <w:r>
              <w:rPr>
                <w:rFonts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  <w:t>4</w:t>
            </w:r>
            <w:r>
              <w:rPr/>
              <w:t>6</w:t>
            </w:r>
          </w:p>
        </w:tc>
      </w:tr>
      <w:tr>
        <w:trPr>
          <w:trHeight w:val="283" w:hRule="atLeast"/>
        </w:trPr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  <w:t>0810 – Telovýchova a šport</w:t>
            </w:r>
          </w:p>
        </w:tc>
        <w:tc>
          <w:tcPr>
            <w:tcW w:w="3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>
                <w:rFonts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  <w:t>3</w:t>
            </w:r>
            <w:r>
              <w:rPr/>
              <w:t> </w:t>
            </w:r>
            <w:r>
              <w:rPr>
                <w:rFonts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  <w:t>500</w:t>
            </w:r>
            <w:r>
              <w:rPr/>
              <w:t>,00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>
                <w:rFonts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  <w:t>2</w:t>
            </w:r>
            <w:r>
              <w:rPr/>
              <w:t> </w:t>
            </w:r>
            <w:r>
              <w:rPr>
                <w:rFonts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  <w:t>993,13</w:t>
            </w:r>
          </w:p>
        </w:tc>
      </w:tr>
      <w:tr>
        <w:trPr>
          <w:trHeight w:val="283" w:hRule="atLeast"/>
        </w:trPr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  <w:t>0820  – Kultúra</w:t>
            </w:r>
          </w:p>
        </w:tc>
        <w:tc>
          <w:tcPr>
            <w:tcW w:w="3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>
                <w:rFonts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  <w:t>40</w:t>
            </w:r>
            <w:r>
              <w:rPr/>
              <w:t> </w:t>
            </w:r>
            <w:r>
              <w:rPr>
                <w:rFonts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  <w:t>918</w:t>
            </w:r>
            <w:r>
              <w:rPr/>
              <w:t>,00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>
                <w:rFonts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  <w:t>40</w:t>
            </w:r>
            <w:r>
              <w:rPr/>
              <w:t> </w:t>
            </w:r>
            <w:r>
              <w:rPr>
                <w:rFonts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  <w:t>196</w:t>
            </w:r>
            <w:r>
              <w:rPr/>
              <w:t>,81</w:t>
            </w:r>
          </w:p>
        </w:tc>
      </w:tr>
      <w:tr>
        <w:trPr>
          <w:trHeight w:val="283" w:hRule="atLeast"/>
        </w:trPr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  <w:t>0830 – Obecné noviny, rozhlas</w:t>
            </w:r>
          </w:p>
        </w:tc>
        <w:tc>
          <w:tcPr>
            <w:tcW w:w="3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>
                <w:rFonts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  <w:t>1</w:t>
            </w:r>
            <w:r>
              <w:rPr/>
              <w:t> </w:t>
            </w:r>
            <w:r>
              <w:rPr>
                <w:rFonts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  <w:t>775</w:t>
            </w:r>
            <w:r>
              <w:rPr/>
              <w:t>,00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>
                <w:rFonts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  <w:t>1</w:t>
            </w:r>
            <w:r>
              <w:rPr/>
              <w:t> </w:t>
            </w:r>
            <w:r>
              <w:rPr>
                <w:rFonts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  <w:t>669,39</w:t>
            </w:r>
          </w:p>
        </w:tc>
      </w:tr>
      <w:tr>
        <w:trPr>
          <w:trHeight w:val="283" w:hRule="atLeast"/>
        </w:trPr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  <w:t>0840 – Dom smútku</w:t>
            </w:r>
          </w:p>
        </w:tc>
        <w:tc>
          <w:tcPr>
            <w:tcW w:w="3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>
                <w:rFonts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  <w:t>845</w:t>
            </w:r>
            <w:r>
              <w:rPr/>
              <w:t>,00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>
                <w:rFonts w:ascii="Times New Roman" w:hAnsi="Times New Roman"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</w:pPr>
            <w:r>
              <w:rPr>
                <w:rFonts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  <w:t>814,20</w:t>
            </w:r>
          </w:p>
        </w:tc>
      </w:tr>
      <w:tr>
        <w:trPr>
          <w:trHeight w:val="283" w:hRule="atLeast"/>
        </w:trPr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  <w:t>09111 – Predprimárne vzdelávanie</w:t>
            </w:r>
          </w:p>
        </w:tc>
        <w:tc>
          <w:tcPr>
            <w:tcW w:w="3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>
                <w:rFonts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  <w:t>390</w:t>
            </w:r>
            <w:r>
              <w:rPr/>
              <w:t>,00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>
                <w:rFonts w:ascii="Times New Roman" w:hAnsi="Times New Roman"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</w:pPr>
            <w:r>
              <w:rPr>
                <w:rFonts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  <w:t>377,69</w:t>
            </w:r>
          </w:p>
        </w:tc>
      </w:tr>
      <w:tr>
        <w:trPr>
          <w:trHeight w:val="298" w:hRule="atLeast"/>
        </w:trPr>
        <w:tc>
          <w:tcPr>
            <w:tcW w:w="36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  <w:t>1020 – Prevádzka sociál. zariadenia</w:t>
            </w:r>
          </w:p>
        </w:tc>
        <w:tc>
          <w:tcPr>
            <w:tcW w:w="33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>
                <w:rFonts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  <w:t>78</w:t>
            </w:r>
            <w:r>
              <w:rPr/>
              <w:t> 1</w:t>
            </w:r>
            <w:r>
              <w:rPr>
                <w:rFonts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  <w:t>25</w:t>
            </w:r>
            <w:r>
              <w:rPr/>
              <w:t>,00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>
                <w:rFonts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  <w:t>74</w:t>
            </w:r>
            <w:r>
              <w:rPr/>
              <w:t> </w:t>
            </w:r>
            <w:r>
              <w:rPr>
                <w:rFonts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  <w:t>522</w:t>
            </w:r>
            <w:r>
              <w:rPr/>
              <w:t>,</w:t>
            </w:r>
            <w:r>
              <w:rPr>
                <w:rFonts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  <w:t>78</w:t>
            </w:r>
          </w:p>
        </w:tc>
      </w:tr>
      <w:tr>
        <w:trPr>
          <w:trHeight w:val="298" w:hRule="atLeast"/>
        </w:trPr>
        <w:tc>
          <w:tcPr>
            <w:tcW w:w="36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  <w:t>1040 – Transfery na dieťa</w:t>
            </w:r>
          </w:p>
        </w:tc>
        <w:tc>
          <w:tcPr>
            <w:tcW w:w="33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360,00</w:t>
            </w: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360,00</w:t>
            </w:r>
          </w:p>
        </w:tc>
      </w:tr>
      <w:tr>
        <w:trPr>
          <w:trHeight w:val="267" w:hRule="atLeast"/>
        </w:trPr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  <w:b/>
              </w:rPr>
            </w:pPr>
            <w:r>
              <w:rPr>
                <w:b/>
              </w:rPr>
              <w:t>Spolu</w:t>
            </w:r>
          </w:p>
        </w:tc>
        <w:tc>
          <w:tcPr>
            <w:tcW w:w="3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>
                <w:b/>
                <w:b/>
                <w:color w:val="000000"/>
                <w:lang w:eastAsia="sk-SK"/>
              </w:rPr>
            </w:pPr>
            <w:r>
              <w:rPr>
                <w:b/>
                <w:color w:val="000000"/>
                <w:lang w:eastAsia="sk-SK"/>
              </w:rPr>
              <w:t>280 882,00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jc w:val="right"/>
              <w:rPr>
                <w:b/>
                <w:b/>
                <w:color w:val="000000"/>
                <w:lang w:eastAsia="sk-SK"/>
              </w:rPr>
            </w:pPr>
            <w:r>
              <w:rPr>
                <w:b/>
                <w:color w:val="000000"/>
                <w:lang w:eastAsia="sk-SK"/>
              </w:rPr>
              <w:t>274 748,39</w:t>
            </w:r>
          </w:p>
        </w:tc>
      </w:tr>
    </w:tbl>
    <w:p>
      <w:pPr>
        <w:pStyle w:val="Normal"/>
        <w:jc w:val="both"/>
        <w:rPr>
          <w:b/>
          <w:b/>
        </w:rPr>
      </w:pPr>
      <w:r>
        <w:rPr>
          <w:b/>
        </w:rPr>
        <w:t xml:space="preserve">Rozbor významných položiek bežného rozpočtu: </w:t>
      </w:r>
    </w:p>
    <w:p>
      <w:pPr>
        <w:pStyle w:val="Normal"/>
        <w:spacing w:lineRule="auto" w:line="360"/>
        <w:rPr>
          <w:b/>
          <w:b/>
          <w:u w:val="single"/>
        </w:rPr>
      </w:pPr>
      <w:r>
        <w:rPr>
          <w:b/>
          <w:u w:val="single"/>
        </w:rPr>
        <w:t xml:space="preserve">0111  Správa úradu </w:t>
      </w:r>
    </w:p>
    <w:p>
      <w:pPr>
        <w:pStyle w:val="Normal"/>
        <w:spacing w:lineRule="auto" w:line="360"/>
        <w:jc w:val="both"/>
        <w:rPr/>
      </w:pPr>
      <w:r>
        <w:rPr>
          <w:b/>
        </w:rPr>
        <w:t>a) Mzdy</w:t>
      </w:r>
      <w:r>
        <w:rPr/>
        <w:t xml:space="preserve"> </w:t>
      </w:r>
    </w:p>
    <w:p>
      <w:pPr>
        <w:pStyle w:val="Normal"/>
        <w:spacing w:lineRule="auto" w:line="360"/>
        <w:jc w:val="both"/>
        <w:rPr/>
      </w:pPr>
      <w:r>
        <w:rPr/>
        <w:t xml:space="preserve">boli rozpočtované vo výške 45 104,00 €, skutočnosť bola </w:t>
      </w:r>
      <w:r>
        <w:rPr>
          <w:rFonts w:eastAsia="Times New Roman" w:cs="Times New Roman"/>
          <w:color w:val="auto"/>
          <w:kern w:val="0"/>
          <w:sz w:val="24"/>
          <w:szCs w:val="24"/>
          <w:lang w:val="sk-SK" w:eastAsia="cs-CZ" w:bidi="ar-SA"/>
        </w:rPr>
        <w:t>45 099,31</w:t>
      </w:r>
      <w:r>
        <w:rPr/>
        <w:t xml:space="preserve"> €, čo je plnenie 99,99 %. </w:t>
      </w:r>
    </w:p>
    <w:p>
      <w:pPr>
        <w:pStyle w:val="Normal"/>
        <w:spacing w:lineRule="auto" w:line="360"/>
        <w:jc w:val="both"/>
        <w:rPr/>
      </w:pPr>
      <w:r>
        <w:rPr/>
        <w:t xml:space="preserve">Mzdy boli vyplatené v zmysle platných platobných výmerov na rok 2025. Bežní zamestnanci mali mzdy na úrovni roku 2025, nakoľko nedošlo k zmene platovej stupnice zamestnancom pri výkone prác vo verejnom záujme. Avšak  v roku 2025 sa navýšili mzdy starostke obce a hlavnej kontrolórke, nakoľko sa zvýšila priemerná mzda v národnom hospodárstve za rok 2024, na základe ktorej sa im vypočíta mzda v roku 2025. V roku 2025 mala obec 3 dohodárov, ktorým  sa taktiež nemenila výška odmeny. </w:t>
      </w:r>
    </w:p>
    <w:p>
      <w:pPr>
        <w:pStyle w:val="Normal"/>
        <w:spacing w:lineRule="auto" w:line="360"/>
        <w:jc w:val="both"/>
        <w:rPr/>
      </w:pPr>
      <w:r>
        <w:rPr>
          <w:b/>
        </w:rPr>
        <w:t>b) Poistné a príspevky do poisťovní</w:t>
      </w:r>
      <w:r>
        <w:rPr/>
        <w:t xml:space="preserve"> </w:t>
      </w:r>
    </w:p>
    <w:p>
      <w:pPr>
        <w:pStyle w:val="Normal"/>
        <w:spacing w:lineRule="auto" w:line="360"/>
        <w:jc w:val="both"/>
        <w:rPr/>
      </w:pPr>
      <w:r>
        <w:rPr/>
        <w:t xml:space="preserve">boli rozpočtované vo výške </w:t>
      </w:r>
      <w:r>
        <w:rPr>
          <w:rFonts w:eastAsia="Times New Roman" w:cs="Times New Roman"/>
          <w:color w:val="auto"/>
          <w:kern w:val="0"/>
          <w:sz w:val="24"/>
          <w:szCs w:val="24"/>
          <w:lang w:val="sk-SK" w:eastAsia="cs-CZ" w:bidi="ar-SA"/>
        </w:rPr>
        <w:t>19</w:t>
      </w:r>
      <w:r>
        <w:rPr/>
        <w:t> </w:t>
      </w:r>
      <w:r>
        <w:rPr>
          <w:rFonts w:eastAsia="Times New Roman" w:cs="Times New Roman"/>
          <w:color w:val="auto"/>
          <w:kern w:val="0"/>
          <w:sz w:val="24"/>
          <w:szCs w:val="24"/>
          <w:lang w:val="sk-SK" w:eastAsia="cs-CZ" w:bidi="ar-SA"/>
        </w:rPr>
        <w:t>340</w:t>
      </w:r>
      <w:r>
        <w:rPr/>
        <w:t xml:space="preserve">,00 €, skutočnosť bola </w:t>
      </w:r>
      <w:r>
        <w:rPr>
          <w:rFonts w:eastAsia="Times New Roman" w:cs="Times New Roman"/>
          <w:color w:val="auto"/>
          <w:kern w:val="0"/>
          <w:sz w:val="24"/>
          <w:szCs w:val="24"/>
          <w:lang w:val="sk-SK" w:eastAsia="cs-CZ" w:bidi="ar-SA"/>
        </w:rPr>
        <w:t>19</w:t>
      </w:r>
      <w:r>
        <w:rPr/>
        <w:t> </w:t>
      </w:r>
      <w:r>
        <w:rPr>
          <w:rFonts w:eastAsia="Times New Roman" w:cs="Times New Roman"/>
          <w:color w:val="auto"/>
          <w:kern w:val="0"/>
          <w:sz w:val="24"/>
          <w:szCs w:val="24"/>
          <w:lang w:val="sk-SK" w:eastAsia="cs-CZ" w:bidi="ar-SA"/>
        </w:rPr>
        <w:t>298</w:t>
      </w:r>
      <w:r>
        <w:rPr/>
        <w:t xml:space="preserve">,91€, čo je plnenie na 99,79 %. </w:t>
      </w:r>
    </w:p>
    <w:p>
      <w:pPr>
        <w:pStyle w:val="Normal"/>
        <w:spacing w:lineRule="auto" w:line="360"/>
        <w:jc w:val="both"/>
        <w:rPr/>
      </w:pPr>
      <w:r>
        <w:rPr/>
        <w:t xml:space="preserve">Poistné do poisťovní bolo vyplatené aj z vyplatených miezd, dohôd o pracovnej činnosti a z odmien zamestnancov s nepravidelným príjmom (poslanci). </w:t>
      </w:r>
    </w:p>
    <w:p>
      <w:pPr>
        <w:pStyle w:val="Normal"/>
        <w:spacing w:lineRule="auto" w:line="360"/>
        <w:jc w:val="both"/>
        <w:rPr/>
      </w:pPr>
      <w:r>
        <w:rPr>
          <w:b/>
        </w:rPr>
        <w:t>c) Tovary a služby</w:t>
      </w:r>
    </w:p>
    <w:p>
      <w:pPr>
        <w:pStyle w:val="Normal"/>
        <w:spacing w:lineRule="auto" w:line="360"/>
        <w:jc w:val="both"/>
        <w:rPr/>
      </w:pPr>
      <w:r>
        <w:rPr/>
        <w:t xml:space="preserve">boli rozpočtované vo výške 32 430,00 €, skutočnosť  bola 32 080,07 €, čo je plnenie </w:t>
      </w:r>
      <w:r>
        <w:rPr>
          <w:rFonts w:eastAsia="Times New Roman" w:cs="Times New Roman"/>
          <w:color w:val="auto"/>
          <w:kern w:val="0"/>
          <w:sz w:val="24"/>
          <w:szCs w:val="24"/>
          <w:lang w:val="sk-SK" w:eastAsia="cs-CZ" w:bidi="ar-SA"/>
        </w:rPr>
        <w:t>98,92 </w:t>
      </w:r>
      <w:r>
        <w:rPr/>
        <w:t>%. Tieto výdavky obsahovali poplatky za energie, poštovné, komunikačnú infraštruktúru, dopravné a pod.</w:t>
      </w:r>
    </w:p>
    <w:p>
      <w:pPr>
        <w:pStyle w:val="Normal"/>
        <w:spacing w:lineRule="auto" w:line="360"/>
        <w:jc w:val="both"/>
        <w:rPr>
          <w:b/>
          <w:b/>
        </w:rPr>
      </w:pPr>
      <w:r>
        <w:rPr>
          <w:b/>
        </w:rPr>
        <w:t>d) Transfery v rámci verejnej služby</w:t>
      </w:r>
    </w:p>
    <w:p>
      <w:pPr>
        <w:pStyle w:val="Normal"/>
        <w:spacing w:lineRule="auto" w:line="360"/>
        <w:jc w:val="both"/>
        <w:rPr/>
      </w:pPr>
      <w:r>
        <w:rPr/>
        <w:t xml:space="preserve">  </w:t>
      </w:r>
      <w:r>
        <w:rPr/>
        <w:t xml:space="preserve">v tejto kategórii bol rozpočet schválený vo výške </w:t>
      </w:r>
      <w:r>
        <w:rPr>
          <w:rFonts w:eastAsia="Times New Roman" w:cs="Times New Roman"/>
          <w:color w:val="auto"/>
          <w:kern w:val="0"/>
          <w:sz w:val="24"/>
          <w:szCs w:val="24"/>
          <w:lang w:val="sk-SK" w:eastAsia="cs-CZ" w:bidi="ar-SA"/>
        </w:rPr>
        <w:t>4</w:t>
      </w:r>
      <w:r>
        <w:rPr/>
        <w:t> </w:t>
      </w:r>
      <w:r>
        <w:rPr>
          <w:rFonts w:eastAsia="Times New Roman" w:cs="Times New Roman"/>
          <w:color w:val="auto"/>
          <w:kern w:val="0"/>
          <w:sz w:val="24"/>
          <w:szCs w:val="24"/>
          <w:lang w:val="sk-SK" w:eastAsia="cs-CZ" w:bidi="ar-SA"/>
        </w:rPr>
        <w:t>595,00</w:t>
      </w:r>
      <w:r>
        <w:rPr/>
        <w:t xml:space="preserve"> €, čerpanie vo výške </w:t>
      </w:r>
      <w:r>
        <w:rPr>
          <w:rFonts w:eastAsia="Times New Roman" w:cs="Times New Roman"/>
          <w:color w:val="auto"/>
          <w:kern w:val="0"/>
          <w:sz w:val="24"/>
          <w:szCs w:val="24"/>
          <w:lang w:val="sk-SK" w:eastAsia="cs-CZ" w:bidi="ar-SA"/>
        </w:rPr>
        <w:t>4</w:t>
      </w:r>
      <w:r>
        <w:rPr/>
        <w:t> </w:t>
      </w:r>
      <w:r>
        <w:rPr>
          <w:rFonts w:eastAsia="Times New Roman" w:cs="Times New Roman"/>
          <w:color w:val="auto"/>
          <w:kern w:val="0"/>
          <w:sz w:val="24"/>
          <w:szCs w:val="24"/>
          <w:lang w:val="sk-SK" w:eastAsia="cs-CZ" w:bidi="ar-SA"/>
        </w:rPr>
        <w:t>514,62 €</w:t>
      </w:r>
      <w:r>
        <w:rPr/>
        <w:t xml:space="preserve">, čo činilo plnenie </w:t>
      </w:r>
      <w:r>
        <w:rPr>
          <w:rFonts w:eastAsia="Times New Roman" w:cs="Times New Roman"/>
          <w:color w:val="auto"/>
          <w:kern w:val="0"/>
          <w:sz w:val="24"/>
          <w:szCs w:val="24"/>
          <w:lang w:val="sk-SK" w:eastAsia="cs-CZ" w:bidi="ar-SA"/>
        </w:rPr>
        <w:t xml:space="preserve">98,25 </w:t>
      </w:r>
      <w:r>
        <w:rPr/>
        <w:t>%. Tieto výdavky boli čerpané na členské príspevky ZMOS, RVC a pod, a tiež sa uhrádzali príspevky na stravovanie.</w:t>
      </w:r>
    </w:p>
    <w:p>
      <w:pPr>
        <w:pStyle w:val="Normal"/>
        <w:tabs>
          <w:tab w:val="clear" w:pos="720"/>
          <w:tab w:val="left" w:pos="5445" w:leader="none"/>
        </w:tabs>
        <w:spacing w:lineRule="auto" w:line="360"/>
        <w:jc w:val="both"/>
        <w:rPr>
          <w:b/>
          <w:b/>
          <w:u w:val="single"/>
        </w:rPr>
      </w:pPr>
      <w:r>
        <w:rPr>
          <w:b/>
          <w:u w:val="single"/>
        </w:rPr>
      </w:r>
    </w:p>
    <w:p>
      <w:pPr>
        <w:pStyle w:val="Normal"/>
        <w:tabs>
          <w:tab w:val="clear" w:pos="720"/>
          <w:tab w:val="left" w:pos="5445" w:leader="none"/>
        </w:tabs>
        <w:spacing w:lineRule="auto" w:line="360"/>
        <w:jc w:val="both"/>
        <w:rPr>
          <w:b/>
          <w:b/>
          <w:u w:val="single"/>
        </w:rPr>
      </w:pPr>
      <w:r>
        <w:rPr>
          <w:b/>
          <w:u w:val="single"/>
        </w:rPr>
        <w:t xml:space="preserve">0160  Voľby   </w:t>
      </w:r>
    </w:p>
    <w:p>
      <w:pPr>
        <w:pStyle w:val="Normal"/>
        <w:tabs>
          <w:tab w:val="clear" w:pos="720"/>
          <w:tab w:val="left" w:pos="5445" w:leader="none"/>
        </w:tabs>
        <w:spacing w:lineRule="auto" w:line="360"/>
        <w:jc w:val="both"/>
        <w:rPr/>
      </w:pPr>
      <w:r>
        <w:rPr/>
        <w:t>v roku 2025 neboli rozpočtované ani čerpané prostriedky na voľby.</w:t>
      </w:r>
    </w:p>
    <w:p>
      <w:pPr>
        <w:pStyle w:val="Normal"/>
        <w:tabs>
          <w:tab w:val="clear" w:pos="720"/>
          <w:tab w:val="left" w:pos="5445" w:leader="none"/>
        </w:tabs>
        <w:spacing w:lineRule="auto" w:line="360"/>
        <w:jc w:val="both"/>
        <w:rPr>
          <w:b/>
          <w:b/>
          <w:u w:val="single"/>
        </w:rPr>
      </w:pPr>
      <w:r>
        <w:rPr>
          <w:b/>
          <w:u w:val="single"/>
        </w:rPr>
      </w:r>
    </w:p>
    <w:p>
      <w:pPr>
        <w:pStyle w:val="Normal"/>
        <w:tabs>
          <w:tab w:val="clear" w:pos="720"/>
          <w:tab w:val="left" w:pos="5445" w:leader="none"/>
        </w:tabs>
        <w:spacing w:lineRule="auto" w:line="360"/>
        <w:jc w:val="both"/>
        <w:rPr>
          <w:b/>
          <w:b/>
          <w:u w:val="single"/>
        </w:rPr>
      </w:pPr>
      <w:r>
        <w:rPr>
          <w:b/>
          <w:u w:val="single"/>
        </w:rPr>
        <w:t xml:space="preserve">0320  Ochrana pred požiarmi  </w:t>
      </w:r>
    </w:p>
    <w:p>
      <w:pPr>
        <w:pStyle w:val="Normal"/>
        <w:tabs>
          <w:tab w:val="clear" w:pos="720"/>
          <w:tab w:val="left" w:pos="5445" w:leader="none"/>
        </w:tabs>
        <w:spacing w:lineRule="auto" w:line="360"/>
        <w:jc w:val="both"/>
        <w:rPr/>
      </w:pPr>
      <w:r>
        <w:rPr/>
        <w:t>Rozpočtované boli finančné prostriedky vo výške 6 </w:t>
      </w:r>
      <w:r>
        <w:rPr>
          <w:rFonts w:eastAsia="Times New Roman" w:cs="Times New Roman"/>
          <w:color w:val="auto"/>
          <w:kern w:val="0"/>
          <w:sz w:val="24"/>
          <w:szCs w:val="24"/>
          <w:lang w:val="sk-SK" w:eastAsia="cs-CZ" w:bidi="ar-SA"/>
        </w:rPr>
        <w:t>940,00</w:t>
      </w:r>
      <w:r>
        <w:rPr/>
        <w:t xml:space="preserve"> €, čerpanie bolo  6 </w:t>
      </w:r>
      <w:r>
        <w:rPr>
          <w:rFonts w:eastAsia="Times New Roman" w:cs="Times New Roman"/>
          <w:color w:val="auto"/>
          <w:kern w:val="0"/>
          <w:sz w:val="24"/>
          <w:szCs w:val="24"/>
          <w:lang w:val="sk-SK" w:eastAsia="cs-CZ" w:bidi="ar-SA"/>
        </w:rPr>
        <w:t>797,46</w:t>
      </w:r>
      <w:r>
        <w:rPr/>
        <w:t xml:space="preserve"> €, čo je plnenie </w:t>
      </w:r>
      <w:r>
        <w:rPr>
          <w:rFonts w:eastAsia="Times New Roman" w:cs="Times New Roman"/>
          <w:color w:val="auto"/>
          <w:kern w:val="0"/>
          <w:sz w:val="24"/>
          <w:szCs w:val="24"/>
          <w:lang w:val="sk-SK" w:eastAsia="cs-CZ" w:bidi="ar-SA"/>
        </w:rPr>
        <w:t>97,95</w:t>
      </w:r>
      <w:r>
        <w:rPr/>
        <w:t xml:space="preserve"> %.  V tejto kategórii sa výdavky pohybovali na nákup materiálu, pohonných hmôt, na zabezpečenie požiarneho technika, vybavenie požiarnej zbrojnice ako aj na údržbu strojov a zariadení. </w:t>
      </w:r>
    </w:p>
    <w:p>
      <w:pPr>
        <w:pStyle w:val="Normal"/>
        <w:tabs>
          <w:tab w:val="clear" w:pos="720"/>
          <w:tab w:val="left" w:pos="5445" w:leader="none"/>
        </w:tabs>
        <w:spacing w:lineRule="auto" w:line="360"/>
        <w:jc w:val="both"/>
        <w:rPr/>
      </w:pPr>
      <w:r>
        <w:rPr/>
      </w:r>
    </w:p>
    <w:p>
      <w:pPr>
        <w:pStyle w:val="Normal"/>
        <w:tabs>
          <w:tab w:val="clear" w:pos="720"/>
          <w:tab w:val="left" w:pos="5445" w:leader="none"/>
        </w:tabs>
        <w:spacing w:lineRule="auto" w:line="360"/>
        <w:jc w:val="both"/>
        <w:rPr/>
      </w:pPr>
      <w:r>
        <w:rPr>
          <w:b/>
          <w:u w:val="single"/>
        </w:rPr>
        <w:t>0451  Cestná doprava</w:t>
      </w:r>
    </w:p>
    <w:p>
      <w:pPr>
        <w:pStyle w:val="Normal"/>
        <w:tabs>
          <w:tab w:val="clear" w:pos="720"/>
          <w:tab w:val="left" w:pos="5445" w:leader="none"/>
        </w:tabs>
        <w:spacing w:lineRule="auto" w:line="360"/>
        <w:jc w:val="both"/>
        <w:rPr/>
      </w:pPr>
      <w:r>
        <w:rPr/>
        <w:t>Zahŕňa materiál na opravu výtlkov, zimnú údržbu a posyp ciest.</w:t>
      </w:r>
    </w:p>
    <w:p>
      <w:pPr>
        <w:pStyle w:val="Normal"/>
        <w:tabs>
          <w:tab w:val="clear" w:pos="720"/>
          <w:tab w:val="left" w:pos="5445" w:leader="none"/>
        </w:tabs>
        <w:spacing w:lineRule="auto" w:line="360"/>
        <w:jc w:val="both"/>
        <w:rPr/>
      </w:pPr>
      <w:r>
        <w:rPr/>
        <w:t xml:space="preserve">Rozpočtované výdavky boli  </w:t>
      </w:r>
      <w:r>
        <w:rPr>
          <w:rFonts w:eastAsia="Times New Roman" w:cs="Times New Roman"/>
          <w:color w:val="auto"/>
          <w:kern w:val="0"/>
          <w:sz w:val="24"/>
          <w:szCs w:val="24"/>
          <w:lang w:val="sk-SK" w:eastAsia="cs-CZ" w:bidi="ar-SA"/>
        </w:rPr>
        <w:t>20,00</w:t>
      </w:r>
      <w:r>
        <w:rPr/>
        <w:t xml:space="preserve"> €, skutočné čerpanie bolo </w:t>
      </w:r>
      <w:r>
        <w:rPr>
          <w:rFonts w:eastAsia="Times New Roman" w:cs="Times New Roman"/>
          <w:color w:val="auto"/>
          <w:kern w:val="0"/>
          <w:sz w:val="24"/>
          <w:szCs w:val="24"/>
          <w:lang w:val="sk-SK" w:eastAsia="cs-CZ" w:bidi="ar-SA"/>
        </w:rPr>
        <w:t xml:space="preserve">20,00 </w:t>
      </w:r>
      <w:r>
        <w:rPr/>
        <w:t xml:space="preserve">€, čo je plnenie 100 %. V porovnaní s minulými rokmi  sme dosiahli značnú úsporu, nakoľko údržbu komunikácii sme realizovali vo vlastnej réžii. Výdavky zahŕňajú nákup posypového materiálu ako aj bežnú údržbu. </w:t>
      </w:r>
    </w:p>
    <w:p>
      <w:pPr>
        <w:pStyle w:val="Normal"/>
        <w:tabs>
          <w:tab w:val="clear" w:pos="720"/>
          <w:tab w:val="left" w:pos="5445" w:leader="none"/>
        </w:tabs>
        <w:spacing w:lineRule="auto" w:line="360"/>
        <w:jc w:val="both"/>
        <w:rPr/>
      </w:pPr>
      <w:r>
        <w:rPr/>
      </w:r>
    </w:p>
    <w:p>
      <w:pPr>
        <w:pStyle w:val="Normal"/>
        <w:tabs>
          <w:tab w:val="clear" w:pos="720"/>
          <w:tab w:val="left" w:pos="5445" w:leader="none"/>
        </w:tabs>
        <w:spacing w:lineRule="auto" w:line="360"/>
        <w:jc w:val="both"/>
        <w:rPr>
          <w:b/>
          <w:b/>
          <w:u w:val="single"/>
        </w:rPr>
      </w:pPr>
      <w:r>
        <w:rPr>
          <w:b/>
          <w:u w:val="single"/>
        </w:rPr>
        <w:t xml:space="preserve">0510  Nakladanie s odpadmi </w:t>
      </w:r>
    </w:p>
    <w:p>
      <w:pPr>
        <w:pStyle w:val="Normal"/>
        <w:tabs>
          <w:tab w:val="clear" w:pos="720"/>
          <w:tab w:val="left" w:pos="5445" w:leader="none"/>
        </w:tabs>
        <w:spacing w:lineRule="auto" w:line="360"/>
        <w:jc w:val="both"/>
        <w:rPr/>
      </w:pPr>
      <w:r>
        <w:rPr/>
        <w:t>Rozpočtované výdavky boli vo výške 26 735,00 €, skutočné čerpanie bolo 26 </w:t>
      </w:r>
      <w:r>
        <w:rPr>
          <w:rFonts w:eastAsia="Times New Roman" w:cs="Times New Roman"/>
          <w:color w:val="auto"/>
          <w:kern w:val="0"/>
          <w:sz w:val="24"/>
          <w:szCs w:val="24"/>
          <w:lang w:val="sk-SK" w:eastAsia="cs-CZ" w:bidi="ar-SA"/>
        </w:rPr>
        <w:t>722,54</w:t>
      </w:r>
      <w:r>
        <w:rPr/>
        <w:t xml:space="preserve"> €, čo je plnenie  99,95 %. Výdavky sú zvýšené oproti roku 2024, nakoľko sa zvýšila hmotnosť odpadu a taktiež došlo aj k zmene DPH, ktorá nám uvedené náklady na odpadové hospodárstvo zvýšila. Výdavky zahŕňajú vývoz odpadu firmou Brantner, nákup nádob na odpad a vývoz obsahu žúmp. Musíme viac separovať, nakoľko separácia stagnuje a tým sa zvyšuje vývoz komunálneho odpadu.</w:t>
      </w:r>
    </w:p>
    <w:p>
      <w:pPr>
        <w:pStyle w:val="Normal"/>
        <w:tabs>
          <w:tab w:val="clear" w:pos="720"/>
          <w:tab w:val="left" w:pos="5445" w:leader="none"/>
        </w:tabs>
        <w:spacing w:lineRule="auto" w:line="360"/>
        <w:jc w:val="both"/>
        <w:rPr/>
      </w:pPr>
      <w:r>
        <w:rPr/>
        <w:t xml:space="preserve"> </w:t>
      </w:r>
    </w:p>
    <w:p>
      <w:pPr>
        <w:pStyle w:val="Normal"/>
        <w:tabs>
          <w:tab w:val="clear" w:pos="720"/>
          <w:tab w:val="left" w:pos="5445" w:leader="none"/>
        </w:tabs>
        <w:spacing w:lineRule="auto" w:line="360"/>
        <w:jc w:val="both"/>
        <w:rPr>
          <w:b/>
          <w:b/>
          <w:u w:val="single"/>
        </w:rPr>
      </w:pPr>
      <w:r>
        <w:rPr>
          <w:b/>
          <w:u w:val="single"/>
        </w:rPr>
        <w:t xml:space="preserve">0620  Rozvoj obcí a malé obecné služby </w:t>
      </w:r>
    </w:p>
    <w:p>
      <w:pPr>
        <w:pStyle w:val="Normal"/>
        <w:tabs>
          <w:tab w:val="clear" w:pos="720"/>
          <w:tab w:val="left" w:pos="5445" w:leader="none"/>
        </w:tabs>
        <w:spacing w:lineRule="auto" w:line="360"/>
        <w:jc w:val="both"/>
        <w:rPr/>
      </w:pPr>
      <w:r>
        <w:rPr/>
        <w:t>Rozpočtovaná výška bežných výdavkov na rozvoj obcí bola  16 </w:t>
      </w:r>
      <w:r>
        <w:rPr>
          <w:rFonts w:eastAsia="Times New Roman" w:cs="Times New Roman"/>
          <w:color w:val="auto"/>
          <w:kern w:val="0"/>
          <w:sz w:val="24"/>
          <w:szCs w:val="24"/>
          <w:lang w:val="sk-SK" w:eastAsia="cs-CZ" w:bidi="ar-SA"/>
        </w:rPr>
        <w:t>545,00</w:t>
      </w:r>
      <w:r>
        <w:rPr/>
        <w:t xml:space="preserve"> €. Skutočné plnenie bolo vo výške 1</w:t>
      </w:r>
      <w:r>
        <w:rPr>
          <w:rFonts w:eastAsia="Times New Roman" w:cs="Times New Roman"/>
          <w:color w:val="auto"/>
          <w:kern w:val="0"/>
          <w:sz w:val="24"/>
          <w:szCs w:val="24"/>
          <w:lang w:val="sk-SK" w:eastAsia="cs-CZ" w:bidi="ar-SA"/>
        </w:rPr>
        <w:t>6</w:t>
      </w:r>
      <w:r>
        <w:rPr/>
        <w:t> </w:t>
      </w:r>
      <w:r>
        <w:rPr>
          <w:rFonts w:eastAsia="Times New Roman" w:cs="Times New Roman"/>
          <w:color w:val="auto"/>
          <w:kern w:val="0"/>
          <w:sz w:val="24"/>
          <w:szCs w:val="24"/>
          <w:lang w:val="sk-SK" w:eastAsia="cs-CZ" w:bidi="ar-SA"/>
        </w:rPr>
        <w:t>052,12</w:t>
      </w:r>
      <w:r>
        <w:rPr/>
        <w:t xml:space="preserve">  €, čo je </w:t>
      </w:r>
      <w:r>
        <w:rPr>
          <w:rFonts w:eastAsia="Times New Roman" w:cs="Times New Roman"/>
          <w:color w:val="auto"/>
          <w:kern w:val="0"/>
          <w:sz w:val="24"/>
          <w:szCs w:val="24"/>
          <w:lang w:val="sk-SK" w:eastAsia="cs-CZ" w:bidi="ar-SA"/>
        </w:rPr>
        <w:t>97,02</w:t>
      </w:r>
      <w:r>
        <w:rPr/>
        <w:t xml:space="preserve"> %. Významnú položku výdavkov tvoria výdavky na materiál a poistné. </w:t>
      </w:r>
    </w:p>
    <w:p>
      <w:pPr>
        <w:pStyle w:val="Normal"/>
        <w:tabs>
          <w:tab w:val="clear" w:pos="720"/>
          <w:tab w:val="left" w:pos="5445" w:leader="none"/>
        </w:tabs>
        <w:spacing w:lineRule="auto" w:line="360"/>
        <w:jc w:val="both"/>
        <w:rPr>
          <w:b/>
          <w:b/>
          <w:u w:val="single"/>
        </w:rPr>
      </w:pPr>
      <w:r>
        <w:rPr>
          <w:b/>
          <w:u w:val="single"/>
        </w:rPr>
      </w:r>
    </w:p>
    <w:p>
      <w:pPr>
        <w:pStyle w:val="Normal"/>
        <w:tabs>
          <w:tab w:val="clear" w:pos="720"/>
          <w:tab w:val="left" w:pos="5445" w:leader="none"/>
        </w:tabs>
        <w:spacing w:lineRule="auto" w:line="360"/>
        <w:jc w:val="both"/>
        <w:rPr/>
      </w:pPr>
      <w:r>
        <w:rPr>
          <w:b/>
          <w:u w:val="single"/>
        </w:rPr>
        <w:t xml:space="preserve">0640  Verejné osvetlenie </w:t>
      </w:r>
    </w:p>
    <w:p>
      <w:pPr>
        <w:pStyle w:val="Normal"/>
        <w:tabs>
          <w:tab w:val="clear" w:pos="720"/>
          <w:tab w:val="left" w:pos="5445" w:leader="none"/>
        </w:tabs>
        <w:spacing w:lineRule="auto" w:line="360"/>
        <w:jc w:val="both"/>
        <w:rPr/>
      </w:pPr>
      <w:r>
        <w:rPr/>
        <w:t>Rozpočtovaná výška výdavkov bola 1 </w:t>
      </w:r>
      <w:r>
        <w:rPr>
          <w:rFonts w:eastAsia="Times New Roman" w:cs="Times New Roman"/>
          <w:color w:val="auto"/>
          <w:kern w:val="0"/>
          <w:sz w:val="24"/>
          <w:szCs w:val="24"/>
          <w:lang w:val="sk-SK" w:eastAsia="cs-CZ" w:bidi="ar-SA"/>
        </w:rPr>
        <w:t>620,00</w:t>
      </w:r>
      <w:r>
        <w:rPr/>
        <w:t xml:space="preserve"> €, skutočné výdavky boli vo výške 1 </w:t>
      </w:r>
      <w:r>
        <w:rPr>
          <w:rFonts w:eastAsia="Times New Roman" w:cs="Times New Roman"/>
          <w:color w:val="auto"/>
          <w:kern w:val="0"/>
          <w:sz w:val="24"/>
          <w:szCs w:val="24"/>
          <w:lang w:val="sk-SK" w:eastAsia="cs-CZ" w:bidi="ar-SA"/>
        </w:rPr>
        <w:t>593,46</w:t>
      </w:r>
      <w:r>
        <w:rPr/>
        <w:t xml:space="preserve"> €, čo je plnenie </w:t>
      </w:r>
      <w:r>
        <w:rPr>
          <w:rFonts w:eastAsia="Times New Roman" w:cs="Times New Roman"/>
          <w:color w:val="auto"/>
          <w:kern w:val="0"/>
          <w:sz w:val="24"/>
          <w:szCs w:val="24"/>
          <w:lang w:val="sk-SK" w:eastAsia="cs-CZ" w:bidi="ar-SA"/>
        </w:rPr>
        <w:t>98,36</w:t>
      </w:r>
      <w:r>
        <w:rPr/>
        <w:t xml:space="preserve"> %.  Najväčšie položky boli spotreba elektrickej energie a údržba verejného osvetlenia. V roku 2025 sme pristúpili k úsporným opatreniam formou kratšieho zapínania verejného osvetlenia, čo sa síce pozitívne odzrkadlilo v rozpočte obce, avšak má to negatívny dopad na kvalitu života obyvateľov obce. </w:t>
      </w:r>
    </w:p>
    <w:p>
      <w:pPr>
        <w:pStyle w:val="Normal"/>
        <w:tabs>
          <w:tab w:val="clear" w:pos="720"/>
          <w:tab w:val="left" w:pos="5445" w:leader="none"/>
        </w:tabs>
        <w:spacing w:lineRule="auto" w:line="360"/>
        <w:jc w:val="both"/>
        <w:rPr/>
      </w:pPr>
      <w:r>
        <w:rPr/>
      </w:r>
    </w:p>
    <w:p>
      <w:pPr>
        <w:pStyle w:val="Normal"/>
        <w:tabs>
          <w:tab w:val="clear" w:pos="720"/>
          <w:tab w:val="left" w:pos="5445" w:leader="none"/>
        </w:tabs>
        <w:spacing w:lineRule="auto" w:line="360"/>
        <w:jc w:val="both"/>
        <w:rPr>
          <w:b/>
          <w:b/>
          <w:u w:val="single"/>
        </w:rPr>
      </w:pPr>
      <w:r>
        <w:rPr/>
      </w:r>
    </w:p>
    <w:p>
      <w:pPr>
        <w:pStyle w:val="Normal"/>
        <w:tabs>
          <w:tab w:val="clear" w:pos="720"/>
          <w:tab w:val="left" w:pos="5445" w:leader="none"/>
        </w:tabs>
        <w:spacing w:lineRule="auto" w:line="360"/>
        <w:jc w:val="both"/>
        <w:rPr>
          <w:b/>
          <w:b/>
          <w:u w:val="single"/>
        </w:rPr>
      </w:pPr>
      <w:r>
        <w:rPr>
          <w:b/>
          <w:u w:val="single"/>
        </w:rPr>
        <w:t xml:space="preserve">0810  Rekreačné a športové služby </w:t>
      </w:r>
    </w:p>
    <w:p>
      <w:pPr>
        <w:pStyle w:val="Normal"/>
        <w:tabs>
          <w:tab w:val="clear" w:pos="720"/>
          <w:tab w:val="left" w:pos="5445" w:leader="none"/>
        </w:tabs>
        <w:spacing w:lineRule="auto" w:line="360"/>
        <w:jc w:val="both"/>
        <w:rPr/>
      </w:pPr>
      <w:r>
        <w:rPr/>
        <w:t xml:space="preserve">Rozpočtovaná výška výdavkov bola </w:t>
      </w:r>
      <w:r>
        <w:rPr>
          <w:rFonts w:eastAsia="Times New Roman" w:cs="Times New Roman"/>
          <w:color w:val="auto"/>
          <w:kern w:val="0"/>
          <w:sz w:val="24"/>
          <w:szCs w:val="24"/>
          <w:lang w:val="sk-SK" w:eastAsia="cs-CZ" w:bidi="ar-SA"/>
        </w:rPr>
        <w:t>3 500,00</w:t>
      </w:r>
      <w:r>
        <w:rPr/>
        <w:t xml:space="preserve">  €, skutočné výdavky boli vo výške </w:t>
      </w:r>
      <w:r>
        <w:rPr>
          <w:rFonts w:eastAsia="Times New Roman" w:cs="Times New Roman"/>
          <w:color w:val="auto"/>
          <w:kern w:val="0"/>
          <w:sz w:val="24"/>
          <w:szCs w:val="24"/>
          <w:lang w:val="sk-SK" w:eastAsia="cs-CZ" w:bidi="ar-SA"/>
        </w:rPr>
        <w:t>2 993,13</w:t>
      </w:r>
      <w:r>
        <w:rPr/>
        <w:t xml:space="preserve"> €, čo je plnenie </w:t>
      </w:r>
      <w:r>
        <w:rPr>
          <w:rFonts w:eastAsia="Times New Roman" w:cs="Times New Roman"/>
          <w:color w:val="auto"/>
          <w:kern w:val="0"/>
          <w:sz w:val="24"/>
          <w:szCs w:val="24"/>
          <w:lang w:val="sk-SK" w:eastAsia="cs-CZ" w:bidi="ar-SA"/>
        </w:rPr>
        <w:t>85,52</w:t>
      </w:r>
      <w:r>
        <w:rPr/>
        <w:t xml:space="preserve"> %. V rozpočtovaných výdavkoch je zahrnutý transfer - príspevok na činnosť TJ Baník Rakovnica a pre stolnotenisový klub pôsobiaci v Rakovnici, ale tiež aj náklady spojené s prevádzkou a údržbou ihriska – voda, elektrina, bežné rutinné opravy budovy.</w:t>
      </w:r>
    </w:p>
    <w:p>
      <w:pPr>
        <w:pStyle w:val="Normal"/>
        <w:tabs>
          <w:tab w:val="clear" w:pos="720"/>
          <w:tab w:val="left" w:pos="567" w:leader="none"/>
          <w:tab w:val="center" w:pos="4536" w:leader="none"/>
        </w:tabs>
        <w:spacing w:lineRule="auto" w:line="360"/>
        <w:jc w:val="both"/>
        <w:rPr>
          <w:b/>
          <w:b/>
          <w:u w:val="single"/>
        </w:rPr>
      </w:pPr>
      <w:r>
        <w:rPr>
          <w:b/>
          <w:u w:val="single"/>
        </w:rPr>
      </w:r>
    </w:p>
    <w:p>
      <w:pPr>
        <w:pStyle w:val="Normal"/>
        <w:tabs>
          <w:tab w:val="clear" w:pos="720"/>
          <w:tab w:val="left" w:pos="567" w:leader="none"/>
          <w:tab w:val="center" w:pos="4536" w:leader="none"/>
        </w:tabs>
        <w:spacing w:lineRule="auto" w:line="360"/>
        <w:jc w:val="both"/>
        <w:rPr/>
      </w:pPr>
      <w:r>
        <w:rPr>
          <w:b/>
          <w:u w:val="single"/>
        </w:rPr>
        <w:t xml:space="preserve">0820  Kultúrny dom </w:t>
      </w:r>
      <w:r>
        <w:rPr/>
        <w:t xml:space="preserve"> </w:t>
      </w:r>
    </w:p>
    <w:p>
      <w:pPr>
        <w:pStyle w:val="Normal"/>
        <w:tabs>
          <w:tab w:val="clear" w:pos="720"/>
          <w:tab w:val="left" w:pos="567" w:leader="none"/>
          <w:tab w:val="center" w:pos="4536" w:leader="none"/>
        </w:tabs>
        <w:spacing w:lineRule="auto" w:line="360"/>
        <w:jc w:val="both"/>
        <w:rPr/>
      </w:pPr>
      <w:r>
        <w:rPr/>
        <w:t xml:space="preserve">Rozpočtovaná výška výdavkov bola  </w:t>
      </w:r>
      <w:r>
        <w:rPr>
          <w:rFonts w:eastAsia="Times New Roman" w:cs="Times New Roman"/>
          <w:color w:val="auto"/>
          <w:kern w:val="0"/>
          <w:sz w:val="24"/>
          <w:szCs w:val="24"/>
          <w:lang w:val="sk-SK" w:eastAsia="cs-CZ" w:bidi="ar-SA"/>
        </w:rPr>
        <w:t>40</w:t>
      </w:r>
      <w:r>
        <w:rPr/>
        <w:t> </w:t>
      </w:r>
      <w:r>
        <w:rPr>
          <w:rFonts w:eastAsia="Times New Roman" w:cs="Times New Roman"/>
          <w:color w:val="auto"/>
          <w:kern w:val="0"/>
          <w:sz w:val="24"/>
          <w:szCs w:val="24"/>
          <w:lang w:val="sk-SK" w:eastAsia="cs-CZ" w:bidi="ar-SA"/>
        </w:rPr>
        <w:t>918,00</w:t>
      </w:r>
      <w:r>
        <w:rPr/>
        <w:t xml:space="preserve"> €, skutočné výdavky boli vo výške </w:t>
      </w:r>
      <w:r>
        <w:rPr>
          <w:rFonts w:eastAsia="Times New Roman" w:cs="Times New Roman"/>
          <w:color w:val="auto"/>
          <w:kern w:val="0"/>
          <w:sz w:val="24"/>
          <w:szCs w:val="24"/>
          <w:lang w:val="sk-SK" w:eastAsia="cs-CZ" w:bidi="ar-SA"/>
        </w:rPr>
        <w:t>40</w:t>
      </w:r>
      <w:r>
        <w:rPr/>
        <w:t> </w:t>
      </w:r>
      <w:r>
        <w:rPr>
          <w:rFonts w:eastAsia="Times New Roman" w:cs="Times New Roman"/>
          <w:color w:val="auto"/>
          <w:kern w:val="0"/>
          <w:sz w:val="24"/>
          <w:szCs w:val="24"/>
          <w:lang w:val="sk-SK" w:eastAsia="cs-CZ" w:bidi="ar-SA"/>
        </w:rPr>
        <w:t>196,81 </w:t>
      </w:r>
      <w:r>
        <w:rPr/>
        <w:t xml:space="preserve">€, čo je  plnenie </w:t>
      </w:r>
      <w:r>
        <w:rPr>
          <w:rFonts w:eastAsia="Times New Roman" w:cs="Times New Roman"/>
          <w:color w:val="auto"/>
          <w:kern w:val="0"/>
          <w:sz w:val="24"/>
          <w:szCs w:val="24"/>
          <w:lang w:val="sk-SK" w:eastAsia="cs-CZ" w:bidi="ar-SA"/>
        </w:rPr>
        <w:t>98,24</w:t>
      </w:r>
      <w:r>
        <w:rPr/>
        <w:t xml:space="preserve"> %. V uvedenej kapitole sú zahrnuté mzdy a odvody 2 pracovníkov obecného úradu, príspevky na stravovanie zamestnancov, transfery pre CVČ, tovary a služby na podporu kultúrneho života v obci, rutinná a štandardná údržba budov, ako aj príspevky na činnosť spolkov, klubov a podpora rôznych podujatí v obci, napr. :</w:t>
      </w:r>
    </w:p>
    <w:p>
      <w:pPr>
        <w:pStyle w:val="ListParagraph"/>
        <w:numPr>
          <w:ilvl w:val="0"/>
          <w:numId w:val="9"/>
        </w:numPr>
        <w:tabs>
          <w:tab w:val="clear" w:pos="720"/>
          <w:tab w:val="left" w:pos="567" w:leader="none"/>
          <w:tab w:val="center" w:pos="4536" w:leader="none"/>
        </w:tabs>
        <w:spacing w:lineRule="auto" w:line="360" w:before="0" w:after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Jednota dôchodcov     </w:t>
        <w:tab/>
        <w:t xml:space="preserve">  </w:t>
        <w:tab/>
        <w:tab/>
        <w:tab/>
        <w:t xml:space="preserve"> </w:t>
      </w:r>
      <w:r>
        <w:rPr>
          <w:rFonts w:eastAsia="Times New Roman" w:cs="Times New Roman" w:ascii="Times New Roman" w:hAnsi="Times New Roman"/>
          <w:color w:val="auto"/>
          <w:kern w:val="0"/>
          <w:sz w:val="24"/>
          <w:szCs w:val="24"/>
          <w:lang w:val="en-US" w:eastAsia="en-US" w:bidi="en-US"/>
        </w:rPr>
        <w:t>201,68</w:t>
      </w:r>
      <w:r>
        <w:rPr>
          <w:rFonts w:ascii="Times New Roman" w:hAnsi="Times New Roman"/>
          <w:sz w:val="24"/>
          <w:szCs w:val="24"/>
        </w:rPr>
        <w:t xml:space="preserve">  €</w:t>
      </w:r>
    </w:p>
    <w:p>
      <w:pPr>
        <w:pStyle w:val="ListParagraph"/>
        <w:numPr>
          <w:ilvl w:val="0"/>
          <w:numId w:val="9"/>
        </w:numPr>
        <w:tabs>
          <w:tab w:val="clear" w:pos="720"/>
          <w:tab w:val="left" w:pos="567" w:leader="none"/>
          <w:tab w:val="center" w:pos="4536" w:leader="none"/>
        </w:tabs>
        <w:spacing w:lineRule="auto" w:line="360" w:before="0" w:after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Banícky spolok           </w:t>
        <w:tab/>
        <w:tab/>
        <w:tab/>
        <w:tab/>
        <w:t xml:space="preserve">  </w:t>
      </w:r>
      <w:r>
        <w:rPr>
          <w:rFonts w:eastAsia="Times New Roman" w:cs="Times New Roman" w:ascii="Times New Roman" w:hAnsi="Times New Roman"/>
          <w:color w:val="auto"/>
          <w:kern w:val="0"/>
          <w:sz w:val="24"/>
          <w:szCs w:val="24"/>
          <w:lang w:val="en-US" w:eastAsia="en-US" w:bidi="en-US"/>
        </w:rPr>
        <w:t>118,80</w:t>
      </w:r>
      <w:r>
        <w:rPr>
          <w:rFonts w:ascii="Times New Roman" w:hAnsi="Times New Roman"/>
          <w:sz w:val="24"/>
          <w:szCs w:val="24"/>
        </w:rPr>
        <w:t xml:space="preserve"> € </w:t>
      </w:r>
    </w:p>
    <w:p>
      <w:pPr>
        <w:pStyle w:val="ListParagraph"/>
        <w:numPr>
          <w:ilvl w:val="0"/>
          <w:numId w:val="9"/>
        </w:numPr>
        <w:tabs>
          <w:tab w:val="clear" w:pos="720"/>
          <w:tab w:val="left" w:pos="567" w:leader="none"/>
          <w:tab w:val="center" w:pos="4536" w:leader="none"/>
        </w:tabs>
        <w:spacing w:lineRule="auto" w:line="360" w:before="0" w:after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Výstup na Plešiveckú planinu</w:t>
        <w:tab/>
        <w:tab/>
        <w:tab/>
        <w:t xml:space="preserve">                </w:t>
      </w:r>
      <w:r>
        <w:rPr>
          <w:rFonts w:eastAsia="Times New Roman" w:cs="Times New Roman" w:ascii="Times New Roman" w:hAnsi="Times New Roman"/>
          <w:color w:val="auto"/>
          <w:kern w:val="0"/>
          <w:sz w:val="24"/>
          <w:szCs w:val="24"/>
          <w:lang w:val="en-US" w:eastAsia="en-US" w:bidi="en-US"/>
        </w:rPr>
        <w:t>64</w:t>
      </w:r>
      <w:r>
        <w:rPr>
          <w:rFonts w:ascii="Times New Roman" w:hAnsi="Times New Roman"/>
          <w:sz w:val="24"/>
          <w:szCs w:val="24"/>
        </w:rPr>
        <w:t xml:space="preserve">,40 €   </w:t>
      </w:r>
    </w:p>
    <w:p>
      <w:pPr>
        <w:pStyle w:val="ListParagraph"/>
        <w:numPr>
          <w:ilvl w:val="0"/>
          <w:numId w:val="9"/>
        </w:numPr>
        <w:tabs>
          <w:tab w:val="clear" w:pos="720"/>
          <w:tab w:val="left" w:pos="567" w:leader="none"/>
          <w:tab w:val="center" w:pos="4536" w:leader="none"/>
        </w:tabs>
        <w:spacing w:lineRule="auto" w:line="360" w:before="0" w:after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ZPOZ                          </w:t>
        <w:tab/>
        <w:t xml:space="preserve">                                                                </w:t>
      </w:r>
      <w:r>
        <w:rPr>
          <w:rFonts w:eastAsia="Times New Roman" w:cs="Times New Roman" w:ascii="Times New Roman" w:hAnsi="Times New Roman"/>
          <w:color w:val="auto"/>
          <w:kern w:val="0"/>
          <w:sz w:val="24"/>
          <w:szCs w:val="24"/>
          <w:lang w:val="en-US" w:eastAsia="en-US" w:bidi="en-US"/>
        </w:rPr>
        <w:t>244,95</w:t>
      </w:r>
      <w:r>
        <w:rPr>
          <w:rFonts w:ascii="Times New Roman" w:hAnsi="Times New Roman"/>
          <w:sz w:val="24"/>
          <w:szCs w:val="24"/>
        </w:rPr>
        <w:t xml:space="preserve"> € </w:t>
      </w:r>
    </w:p>
    <w:p>
      <w:pPr>
        <w:pStyle w:val="ListParagraph"/>
        <w:numPr>
          <w:ilvl w:val="0"/>
          <w:numId w:val="9"/>
        </w:numPr>
        <w:tabs>
          <w:tab w:val="clear" w:pos="720"/>
          <w:tab w:val="left" w:pos="567" w:leader="none"/>
          <w:tab w:val="center" w:pos="4536" w:leader="none"/>
        </w:tabs>
        <w:spacing w:lineRule="auto" w:line="360" w:before="0" w:after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MDD, Mikuláš, vystúpenie deti                                                 </w:t>
      </w:r>
      <w:r>
        <w:rPr>
          <w:rFonts w:eastAsia="Times New Roman" w:cs="Times New Roman" w:ascii="Times New Roman" w:hAnsi="Times New Roman"/>
          <w:color w:val="auto"/>
          <w:kern w:val="0"/>
          <w:sz w:val="24"/>
          <w:szCs w:val="24"/>
          <w:lang w:val="en-US" w:eastAsia="en-US" w:bidi="en-US"/>
        </w:rPr>
        <w:t>339,59</w:t>
      </w:r>
      <w:r>
        <w:rPr>
          <w:rFonts w:ascii="Times New Roman" w:hAnsi="Times New Roman"/>
          <w:sz w:val="24"/>
          <w:szCs w:val="24"/>
        </w:rPr>
        <w:t xml:space="preserve"> €</w:t>
      </w:r>
    </w:p>
    <w:p>
      <w:pPr>
        <w:pStyle w:val="ListParagraph"/>
        <w:numPr>
          <w:ilvl w:val="0"/>
          <w:numId w:val="9"/>
        </w:numPr>
        <w:tabs>
          <w:tab w:val="clear" w:pos="720"/>
          <w:tab w:val="left" w:pos="567" w:leader="none"/>
          <w:tab w:val="left" w:pos="3435" w:leader="none"/>
          <w:tab w:val="center" w:pos="4536" w:leader="none"/>
        </w:tabs>
        <w:spacing w:lineRule="auto" w:line="360" w:before="0" w:after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Dni obce                    </w:t>
        <w:tab/>
        <w:t xml:space="preserve">                                                    </w:t>
      </w:r>
      <w:r>
        <w:rPr>
          <w:rFonts w:eastAsia="Times New Roman" w:cs="Times New Roman" w:ascii="Times New Roman" w:hAnsi="Times New Roman"/>
          <w:color w:val="auto"/>
          <w:kern w:val="0"/>
          <w:sz w:val="24"/>
          <w:szCs w:val="24"/>
          <w:lang w:val="en-US" w:eastAsia="en-US" w:bidi="en-US"/>
        </w:rPr>
        <w:t>454,06</w:t>
      </w:r>
      <w:r>
        <w:rPr>
          <w:rFonts w:ascii="Times New Roman" w:hAnsi="Times New Roman"/>
          <w:sz w:val="24"/>
          <w:szCs w:val="24"/>
        </w:rPr>
        <w:t xml:space="preserve"> €</w:t>
      </w:r>
    </w:p>
    <w:p>
      <w:pPr>
        <w:pStyle w:val="ListParagraph"/>
        <w:numPr>
          <w:ilvl w:val="0"/>
          <w:numId w:val="9"/>
        </w:numPr>
        <w:tabs>
          <w:tab w:val="clear" w:pos="720"/>
          <w:tab w:val="left" w:pos="567" w:leader="none"/>
          <w:tab w:val="left" w:pos="3435" w:leader="none"/>
          <w:tab w:val="center" w:pos="4536" w:leader="none"/>
        </w:tabs>
        <w:spacing w:lineRule="auto" w:line="360" w:before="0" w:after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Transfery CVČ</w:t>
        <w:tab/>
        <w:tab/>
        <w:tab/>
        <w:tab/>
        <w:tab/>
        <w:t xml:space="preserve"> </w:t>
      </w:r>
      <w:r>
        <w:rPr>
          <w:rFonts w:eastAsia="Times New Roman" w:cs="Times New Roman" w:ascii="Times New Roman" w:hAnsi="Times New Roman"/>
          <w:color w:val="auto"/>
          <w:kern w:val="0"/>
          <w:sz w:val="24"/>
          <w:szCs w:val="24"/>
          <w:lang w:val="en-US" w:eastAsia="en-US" w:bidi="en-US"/>
        </w:rPr>
        <w:t>532,00</w:t>
      </w:r>
      <w:r>
        <w:rPr>
          <w:rFonts w:ascii="Times New Roman" w:hAnsi="Times New Roman"/>
          <w:sz w:val="24"/>
          <w:szCs w:val="24"/>
        </w:rPr>
        <w:t xml:space="preserve"> € </w:t>
      </w:r>
    </w:p>
    <w:p>
      <w:pPr>
        <w:pStyle w:val="ListParagraph"/>
        <w:numPr>
          <w:ilvl w:val="0"/>
          <w:numId w:val="9"/>
        </w:numPr>
        <w:tabs>
          <w:tab w:val="clear" w:pos="720"/>
          <w:tab w:val="left" w:pos="567" w:leader="none"/>
          <w:tab w:val="left" w:pos="3435" w:leader="none"/>
          <w:tab w:val="center" w:pos="4536" w:leader="none"/>
        </w:tabs>
        <w:spacing w:lineRule="auto" w:line="360" w:before="0" w:after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Kultúrne podujatia</w:t>
        <w:tab/>
        <w:t xml:space="preserve">         </w:t>
        <w:tab/>
        <w:tab/>
        <w:tab/>
        <w:t xml:space="preserve">             </w:t>
      </w:r>
      <w:r>
        <w:rPr>
          <w:rFonts w:eastAsia="Times New Roman" w:cs="Times New Roman" w:ascii="Times New Roman" w:hAnsi="Times New Roman"/>
          <w:color w:val="auto"/>
          <w:kern w:val="0"/>
          <w:sz w:val="24"/>
          <w:szCs w:val="24"/>
          <w:lang w:val="en-US" w:eastAsia="en-US" w:bidi="en-US"/>
        </w:rPr>
        <w:t>231,45</w:t>
      </w:r>
      <w:r>
        <w:rPr>
          <w:rFonts w:ascii="Times New Roman" w:hAnsi="Times New Roman"/>
          <w:sz w:val="24"/>
          <w:szCs w:val="24"/>
        </w:rPr>
        <w:t xml:space="preserve"> € </w:t>
      </w:r>
    </w:p>
    <w:p>
      <w:pPr>
        <w:pStyle w:val="ListParagraph"/>
        <w:tabs>
          <w:tab w:val="clear" w:pos="720"/>
          <w:tab w:val="left" w:pos="567" w:leader="none"/>
          <w:tab w:val="left" w:pos="3435" w:leader="none"/>
          <w:tab w:val="center" w:pos="4536" w:leader="none"/>
        </w:tabs>
        <w:spacing w:lineRule="auto" w:line="360" w:before="0" w:after="0"/>
        <w:ind w:left="0" w:hanging="0"/>
        <w:contextualSpacing/>
        <w:jc w:val="both"/>
        <w:rPr>
          <w:rFonts w:ascii="Times New Roman" w:hAnsi="Times New Roman"/>
          <w:b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</w:r>
    </w:p>
    <w:p>
      <w:pPr>
        <w:pStyle w:val="ListParagraph"/>
        <w:tabs>
          <w:tab w:val="clear" w:pos="720"/>
          <w:tab w:val="left" w:pos="567" w:leader="none"/>
          <w:tab w:val="left" w:pos="3435" w:leader="none"/>
          <w:tab w:val="center" w:pos="4536" w:leader="none"/>
        </w:tabs>
        <w:spacing w:lineRule="auto" w:line="360" w:before="0" w:after="0"/>
        <w:ind w:left="0" w:hanging="0"/>
        <w:contextualSpacing/>
        <w:jc w:val="both"/>
        <w:rPr>
          <w:rFonts w:ascii="Times New Roman" w:hAnsi="Times New Roman"/>
          <w:b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 xml:space="preserve">0830  Vysielacie a vydavateľské služby </w:t>
      </w:r>
    </w:p>
    <w:p>
      <w:pPr>
        <w:pStyle w:val="ListParagraph"/>
        <w:tabs>
          <w:tab w:val="clear" w:pos="720"/>
          <w:tab w:val="left" w:pos="567" w:leader="none"/>
          <w:tab w:val="left" w:pos="3435" w:leader="none"/>
          <w:tab w:val="center" w:pos="4536" w:leader="none"/>
        </w:tabs>
        <w:spacing w:lineRule="auto" w:line="360" w:before="0" w:after="0"/>
        <w:ind w:left="0" w:hanging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k-SK" w:eastAsia="cs-CZ" w:bidi="ar-SA"/>
        </w:rPr>
        <w:t xml:space="preserve">Rozpočtovaná výška výdavkov bola 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color w:val="auto"/>
          <w:kern w:val="0"/>
          <w:sz w:val="24"/>
          <w:szCs w:val="24"/>
          <w:lang w:val="sk-SK" w:eastAsia="cs-CZ" w:bidi="ar-SA"/>
        </w:rPr>
        <w:t>1 775,00</w:t>
      </w:r>
      <w:r>
        <w:rPr>
          <w:rFonts w:ascii="Times New Roman" w:hAnsi="Times New Roman"/>
          <w:sz w:val="24"/>
          <w:szCs w:val="24"/>
        </w:rPr>
        <w:t xml:space="preserve"> €, skutočné </w:t>
      </w:r>
      <w:r>
        <w:rPr>
          <w:rFonts w:ascii="Times New Roman" w:hAnsi="Times New Roman"/>
          <w:sz w:val="24"/>
          <w:szCs w:val="24"/>
          <w:lang w:val="sk-SK" w:eastAsia="cs-CZ" w:bidi="ar-SA"/>
        </w:rPr>
        <w:t>výdavky</w:t>
      </w:r>
      <w:r>
        <w:rPr>
          <w:rFonts w:ascii="Times New Roman" w:hAnsi="Times New Roman"/>
          <w:sz w:val="24"/>
          <w:szCs w:val="24"/>
        </w:rPr>
        <w:t xml:space="preserve"> boli </w:t>
      </w:r>
      <w:r>
        <w:rPr>
          <w:rFonts w:ascii="Times New Roman" w:hAnsi="Times New Roman"/>
          <w:sz w:val="24"/>
          <w:szCs w:val="24"/>
          <w:lang w:val="sk-SK" w:eastAsia="cs-CZ" w:bidi="ar-SA"/>
        </w:rPr>
        <w:t>vo výške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color w:val="auto"/>
          <w:kern w:val="0"/>
          <w:sz w:val="24"/>
          <w:szCs w:val="24"/>
          <w:lang w:val="en-US" w:eastAsia="en-US" w:bidi="en-US"/>
        </w:rPr>
        <w:t>1 669,39</w:t>
      </w:r>
      <w:r>
        <w:rPr>
          <w:rFonts w:ascii="Times New Roman" w:hAnsi="Times New Roman"/>
          <w:sz w:val="24"/>
          <w:szCs w:val="24"/>
        </w:rPr>
        <w:t xml:space="preserve"> €, čo je  plnenie </w:t>
      </w:r>
      <w:r>
        <w:rPr>
          <w:rFonts w:eastAsia="Times New Roman" w:cs="Times New Roman" w:ascii="Times New Roman" w:hAnsi="Times New Roman"/>
          <w:color w:val="auto"/>
          <w:kern w:val="0"/>
          <w:sz w:val="24"/>
          <w:szCs w:val="24"/>
          <w:lang w:val="en-US" w:eastAsia="en-US" w:bidi="en-US"/>
        </w:rPr>
        <w:t>94,05</w:t>
      </w:r>
      <w:r>
        <w:rPr>
          <w:rFonts w:ascii="Times New Roman" w:hAnsi="Times New Roman"/>
          <w:sz w:val="24"/>
          <w:szCs w:val="24"/>
        </w:rPr>
        <w:t xml:space="preserve"> %. V tejto kapitole sú zahrnuté výdavky na vydavateľské služby, tlač a prípravu Rakovnických obecných novín a údržbu obecného rozhlasu. </w:t>
      </w:r>
    </w:p>
    <w:p>
      <w:pPr>
        <w:pStyle w:val="Normal"/>
        <w:tabs>
          <w:tab w:val="clear" w:pos="720"/>
          <w:tab w:val="left" w:pos="3435" w:leader="none"/>
          <w:tab w:val="center" w:pos="4536" w:leader="none"/>
        </w:tabs>
        <w:spacing w:lineRule="auto" w:line="360"/>
        <w:jc w:val="both"/>
        <w:rPr/>
      </w:pPr>
      <w:r>
        <w:rPr/>
      </w:r>
    </w:p>
    <w:p>
      <w:pPr>
        <w:pStyle w:val="Normal"/>
        <w:tabs>
          <w:tab w:val="clear" w:pos="720"/>
          <w:tab w:val="left" w:pos="3435" w:leader="none"/>
          <w:tab w:val="center" w:pos="4536" w:leader="none"/>
        </w:tabs>
        <w:spacing w:lineRule="auto" w:line="360"/>
        <w:jc w:val="both"/>
        <w:rPr/>
      </w:pPr>
      <w:r>
        <w:rPr>
          <w:b/>
          <w:u w:val="single"/>
        </w:rPr>
        <w:t xml:space="preserve">0840  Náboženské a iné služby – Dom smútku </w:t>
      </w:r>
    </w:p>
    <w:p>
      <w:pPr>
        <w:pStyle w:val="Normal"/>
        <w:tabs>
          <w:tab w:val="clear" w:pos="720"/>
          <w:tab w:val="left" w:pos="3435" w:leader="none"/>
          <w:tab w:val="center" w:pos="4536" w:leader="none"/>
        </w:tabs>
        <w:spacing w:lineRule="auto" w:line="360"/>
        <w:jc w:val="both"/>
        <w:rPr/>
      </w:pPr>
      <w:r>
        <w:rPr/>
        <w:t xml:space="preserve">Rozpočtovaná výška výdavkov bola  </w:t>
      </w:r>
      <w:r>
        <w:rPr>
          <w:rFonts w:eastAsia="Times New Roman" w:cs="Times New Roman"/>
          <w:color w:val="auto"/>
          <w:kern w:val="0"/>
          <w:sz w:val="24"/>
          <w:szCs w:val="24"/>
          <w:lang w:val="sk-SK" w:eastAsia="cs-CZ" w:bidi="ar-SA"/>
        </w:rPr>
        <w:t xml:space="preserve">845,00 </w:t>
      </w:r>
      <w:r>
        <w:rPr/>
        <w:t xml:space="preserve">€, skutočné výdavky boli vo výške </w:t>
      </w:r>
      <w:r>
        <w:rPr>
          <w:rFonts w:eastAsia="Times New Roman" w:cs="Times New Roman"/>
          <w:color w:val="auto"/>
          <w:kern w:val="0"/>
          <w:sz w:val="24"/>
          <w:szCs w:val="24"/>
          <w:lang w:val="sk-SK" w:eastAsia="cs-CZ" w:bidi="ar-SA"/>
        </w:rPr>
        <w:t>814,20</w:t>
      </w:r>
      <w:r>
        <w:rPr/>
        <w:t xml:space="preserve"> €, čo je  plnenie </w:t>
      </w:r>
      <w:r>
        <w:rPr>
          <w:rFonts w:eastAsia="Times New Roman" w:cs="Times New Roman"/>
          <w:color w:val="auto"/>
          <w:kern w:val="0"/>
          <w:sz w:val="24"/>
          <w:szCs w:val="24"/>
          <w:lang w:val="sk-SK" w:eastAsia="cs-CZ" w:bidi="ar-SA"/>
        </w:rPr>
        <w:t>96,36</w:t>
      </w:r>
      <w:r>
        <w:rPr/>
        <w:t xml:space="preserve"> %.  V tejto kapitole sú zahrnuté výdavky na elektrinu, vodu, odmenu za dohodu o pracovnej činnosti, náklady ktoré súvisia s údržbou cintorína a prevádzkou domu smútku.</w:t>
      </w:r>
    </w:p>
    <w:p>
      <w:pPr>
        <w:pStyle w:val="Normal"/>
        <w:tabs>
          <w:tab w:val="clear" w:pos="720"/>
          <w:tab w:val="left" w:pos="3435" w:leader="none"/>
          <w:tab w:val="center" w:pos="4536" w:leader="none"/>
        </w:tabs>
        <w:spacing w:lineRule="auto" w:line="360"/>
        <w:jc w:val="both"/>
        <w:rPr/>
      </w:pPr>
      <w:r>
        <w:rPr/>
      </w:r>
    </w:p>
    <w:p>
      <w:pPr>
        <w:pStyle w:val="Normal"/>
        <w:tabs>
          <w:tab w:val="clear" w:pos="720"/>
          <w:tab w:val="left" w:pos="3435" w:leader="none"/>
          <w:tab w:val="center" w:pos="4536" w:leader="none"/>
        </w:tabs>
        <w:spacing w:lineRule="auto" w:line="360"/>
        <w:jc w:val="both"/>
        <w:rPr>
          <w:b/>
          <w:b/>
          <w:bCs/>
          <w:u w:val="single"/>
        </w:rPr>
      </w:pPr>
      <w:r>
        <w:rPr>
          <w:b/>
          <w:bCs/>
          <w:u w:val="single"/>
        </w:rPr>
        <w:t>09111  Predprimárne vzdelávanie</w:t>
      </w:r>
    </w:p>
    <w:p>
      <w:pPr>
        <w:pStyle w:val="ListParagraph"/>
        <w:tabs>
          <w:tab w:val="clear" w:pos="720"/>
          <w:tab w:val="left" w:pos="567" w:leader="none"/>
          <w:tab w:val="left" w:pos="3435" w:leader="none"/>
          <w:tab w:val="center" w:pos="4536" w:leader="none"/>
        </w:tabs>
        <w:spacing w:lineRule="auto" w:line="360" w:before="0" w:after="0"/>
        <w:ind w:left="0" w:hanging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k-SK" w:eastAsia="cs-CZ" w:bidi="ar-SA"/>
        </w:rPr>
        <w:t xml:space="preserve">Rozpočtovaná výška výdavkov bola 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color w:val="auto"/>
          <w:kern w:val="0"/>
          <w:sz w:val="24"/>
          <w:szCs w:val="24"/>
          <w:lang w:val="en-US" w:eastAsia="en-US" w:bidi="en-US"/>
        </w:rPr>
        <w:t>390,00</w:t>
      </w:r>
      <w:r>
        <w:rPr>
          <w:rFonts w:ascii="Times New Roman" w:hAnsi="Times New Roman"/>
          <w:sz w:val="24"/>
          <w:szCs w:val="24"/>
        </w:rPr>
        <w:t xml:space="preserve">€, skutočné </w:t>
      </w:r>
      <w:r>
        <w:rPr>
          <w:rFonts w:ascii="Times New Roman" w:hAnsi="Times New Roman"/>
          <w:sz w:val="24"/>
          <w:szCs w:val="24"/>
          <w:lang w:val="sk-SK" w:eastAsia="cs-CZ" w:bidi="ar-SA"/>
        </w:rPr>
        <w:t>výdavky</w:t>
      </w:r>
      <w:r>
        <w:rPr>
          <w:rFonts w:ascii="Times New Roman" w:hAnsi="Times New Roman"/>
          <w:sz w:val="24"/>
          <w:szCs w:val="24"/>
        </w:rPr>
        <w:t xml:space="preserve"> boli </w:t>
      </w:r>
      <w:r>
        <w:rPr>
          <w:rFonts w:ascii="Times New Roman" w:hAnsi="Times New Roman"/>
          <w:sz w:val="24"/>
          <w:szCs w:val="24"/>
          <w:lang w:val="sk-SK" w:eastAsia="cs-CZ" w:bidi="ar-SA"/>
        </w:rPr>
        <w:t>vo výške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color w:val="auto"/>
          <w:kern w:val="0"/>
          <w:sz w:val="24"/>
          <w:szCs w:val="24"/>
          <w:lang w:val="en-US" w:eastAsia="en-US" w:bidi="en-US"/>
        </w:rPr>
        <w:t>377,69</w:t>
      </w:r>
      <w:r>
        <w:rPr>
          <w:rFonts w:ascii="Times New Roman" w:hAnsi="Times New Roman"/>
          <w:sz w:val="24"/>
          <w:szCs w:val="24"/>
        </w:rPr>
        <w:t xml:space="preserve"> €, čo je  plnenie </w:t>
      </w:r>
      <w:r>
        <w:rPr>
          <w:rFonts w:eastAsia="Times New Roman" w:cs="Times New Roman" w:ascii="Times New Roman" w:hAnsi="Times New Roman"/>
          <w:color w:val="auto"/>
          <w:kern w:val="0"/>
          <w:sz w:val="24"/>
          <w:szCs w:val="24"/>
          <w:lang w:val="en-US" w:eastAsia="en-US" w:bidi="en-US"/>
        </w:rPr>
        <w:t>96,84</w:t>
      </w:r>
      <w:r>
        <w:rPr>
          <w:rFonts w:ascii="Times New Roman" w:hAnsi="Times New Roman"/>
          <w:sz w:val="24"/>
          <w:szCs w:val="24"/>
        </w:rPr>
        <w:t xml:space="preserve"> %. Tu evidujeme len výdavky za elektrickú energiu v budove bývalej materskej škôlky.</w:t>
      </w:r>
    </w:p>
    <w:p>
      <w:pPr>
        <w:pStyle w:val="Normal"/>
        <w:tabs>
          <w:tab w:val="clear" w:pos="720"/>
          <w:tab w:val="left" w:pos="3435" w:leader="none"/>
          <w:tab w:val="center" w:pos="4536" w:leader="none"/>
        </w:tabs>
        <w:spacing w:lineRule="auto" w:line="360"/>
        <w:jc w:val="both"/>
        <w:rPr>
          <w:b/>
          <w:b/>
          <w:u w:val="single"/>
        </w:rPr>
      </w:pPr>
      <w:r>
        <w:rPr>
          <w:b/>
          <w:u w:val="single"/>
        </w:rPr>
      </w:r>
    </w:p>
    <w:p>
      <w:pPr>
        <w:pStyle w:val="Normal"/>
        <w:tabs>
          <w:tab w:val="clear" w:pos="720"/>
          <w:tab w:val="left" w:pos="3435" w:leader="none"/>
          <w:tab w:val="center" w:pos="4536" w:leader="none"/>
        </w:tabs>
        <w:spacing w:lineRule="auto" w:line="360"/>
        <w:jc w:val="both"/>
        <w:rPr>
          <w:b/>
          <w:b/>
          <w:u w:val="single"/>
        </w:rPr>
      </w:pPr>
      <w:r>
        <w:rPr>
          <w:b/>
          <w:u w:val="single"/>
        </w:rPr>
        <w:t xml:space="preserve">1020  Sociálna činnosť </w:t>
      </w:r>
    </w:p>
    <w:p>
      <w:pPr>
        <w:pStyle w:val="ListParagraph"/>
        <w:tabs>
          <w:tab w:val="clear" w:pos="720"/>
          <w:tab w:val="left" w:pos="567" w:leader="none"/>
          <w:tab w:val="left" w:pos="3435" w:leader="none"/>
          <w:tab w:val="center" w:pos="4536" w:leader="none"/>
        </w:tabs>
        <w:spacing w:lineRule="auto" w:line="360" w:before="0" w:after="0"/>
        <w:ind w:left="0" w:hanging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k-SK" w:eastAsia="cs-CZ" w:bidi="ar-SA"/>
        </w:rPr>
        <w:t xml:space="preserve">Rozpočtovaná výška výdavkov bola 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color w:val="auto"/>
          <w:kern w:val="0"/>
          <w:sz w:val="24"/>
          <w:szCs w:val="24"/>
          <w:lang w:val="en-US" w:eastAsia="en-US" w:bidi="en-US"/>
        </w:rPr>
        <w:t>78 125,00</w:t>
      </w:r>
      <w:r>
        <w:rPr>
          <w:rFonts w:ascii="Times New Roman" w:hAnsi="Times New Roman"/>
          <w:sz w:val="24"/>
          <w:szCs w:val="24"/>
        </w:rPr>
        <w:t xml:space="preserve"> €, skutočné </w:t>
      </w:r>
      <w:r>
        <w:rPr>
          <w:rFonts w:ascii="Times New Roman" w:hAnsi="Times New Roman"/>
          <w:sz w:val="24"/>
          <w:szCs w:val="24"/>
          <w:lang w:val="sk-SK" w:eastAsia="cs-CZ" w:bidi="ar-SA"/>
        </w:rPr>
        <w:t>výdavky</w:t>
      </w:r>
      <w:r>
        <w:rPr>
          <w:rFonts w:ascii="Times New Roman" w:hAnsi="Times New Roman"/>
          <w:sz w:val="24"/>
          <w:szCs w:val="24"/>
        </w:rPr>
        <w:t xml:space="preserve"> boli </w:t>
      </w:r>
      <w:r>
        <w:rPr>
          <w:rFonts w:ascii="Times New Roman" w:hAnsi="Times New Roman"/>
          <w:sz w:val="24"/>
          <w:szCs w:val="24"/>
          <w:lang w:val="sk-SK" w:eastAsia="cs-CZ" w:bidi="ar-SA"/>
        </w:rPr>
        <w:t>vo výške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color w:val="auto"/>
          <w:kern w:val="0"/>
          <w:sz w:val="24"/>
          <w:szCs w:val="24"/>
          <w:lang w:val="en-US" w:eastAsia="en-US" w:bidi="en-US"/>
        </w:rPr>
        <w:t>74 522,78 </w:t>
      </w:r>
      <w:r>
        <w:rPr>
          <w:rFonts w:ascii="Times New Roman" w:hAnsi="Times New Roman"/>
          <w:sz w:val="24"/>
          <w:szCs w:val="24"/>
        </w:rPr>
        <w:t xml:space="preserve">€, čo je čerpanie </w:t>
      </w:r>
      <w:r>
        <w:rPr>
          <w:rFonts w:eastAsia="Times New Roman" w:cs="Times New Roman" w:ascii="Times New Roman" w:hAnsi="Times New Roman"/>
          <w:color w:val="auto"/>
          <w:kern w:val="0"/>
          <w:sz w:val="24"/>
          <w:szCs w:val="24"/>
          <w:lang w:val="en-US" w:eastAsia="en-US" w:bidi="en-US"/>
        </w:rPr>
        <w:t>95,39</w:t>
      </w:r>
      <w:r>
        <w:rPr>
          <w:rFonts w:ascii="Times New Roman" w:hAnsi="Times New Roman"/>
          <w:sz w:val="24"/>
          <w:szCs w:val="24"/>
        </w:rPr>
        <w:t xml:space="preserve"> %. Dotácia zo strany MPSVaR SR bola vo výške </w:t>
      </w:r>
      <w:r>
        <w:rPr>
          <w:rFonts w:eastAsia="Times New Roman" w:cs="Times New Roman" w:ascii="Times New Roman" w:hAnsi="Times New Roman"/>
          <w:color w:val="auto"/>
          <w:kern w:val="0"/>
          <w:sz w:val="24"/>
          <w:szCs w:val="24"/>
          <w:lang w:val="en-US" w:eastAsia="en-US" w:bidi="en-US"/>
        </w:rPr>
        <w:t>59 100,00 </w:t>
      </w:r>
      <w:r>
        <w:rPr>
          <w:rFonts w:ascii="Times New Roman" w:hAnsi="Times New Roman"/>
          <w:sz w:val="24"/>
          <w:szCs w:val="24"/>
        </w:rPr>
        <w:t>€, čo je príspevok vypočítaný na základe žiadosti na 15 miest, čo je kapacita denného stacionáru. Tento príspevok sa môže použiť len na pokrytie miezd a odvodov zamestnancov. Podľa dochádzky klientov a vykázaných hodín strávených v zariadení sa potom pomernú časť tohoto príspevku za každý deň neúčasti klienta vracia späť na ministerstvo.</w:t>
      </w:r>
    </w:p>
    <w:p>
      <w:pPr>
        <w:pStyle w:val="ListParagraph"/>
        <w:tabs>
          <w:tab w:val="clear" w:pos="720"/>
          <w:tab w:val="left" w:pos="567" w:leader="none"/>
          <w:tab w:val="left" w:pos="3435" w:leader="none"/>
          <w:tab w:val="center" w:pos="4536" w:leader="none"/>
        </w:tabs>
        <w:spacing w:lineRule="auto" w:line="360" w:before="0" w:after="0"/>
        <w:ind w:left="0" w:hanging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Nakoľko v roku 2025 sme nemali plne obsadených 15 miest a výkaz sa robí podľa vykázaných hodín klientov, ktorí zariadenie navštevujú, došlo k vráteniu príspevku vo výške 13 </w:t>
      </w:r>
      <w:r>
        <w:rPr>
          <w:rFonts w:eastAsia="Times New Roman" w:cs="Times New Roman" w:ascii="Times New Roman" w:hAnsi="Times New Roman"/>
          <w:color w:val="auto"/>
          <w:kern w:val="0"/>
          <w:sz w:val="24"/>
          <w:szCs w:val="24"/>
          <w:lang w:val="en-US" w:eastAsia="en-US" w:bidi="en-US"/>
        </w:rPr>
        <w:t>829</w:t>
      </w:r>
      <w:r>
        <w:rPr>
          <w:rFonts w:ascii="Times New Roman" w:hAnsi="Times New Roman"/>
          <w:sz w:val="24"/>
          <w:szCs w:val="24"/>
        </w:rPr>
        <w:t xml:space="preserve">,55 €. </w:t>
      </w:r>
    </w:p>
    <w:p>
      <w:pPr>
        <w:pStyle w:val="ListParagraph"/>
        <w:tabs>
          <w:tab w:val="clear" w:pos="720"/>
          <w:tab w:val="left" w:pos="567" w:leader="none"/>
          <w:tab w:val="left" w:pos="3435" w:leader="none"/>
          <w:tab w:val="center" w:pos="4536" w:leader="none"/>
        </w:tabs>
        <w:spacing w:lineRule="auto" w:line="360" w:before="0" w:after="0"/>
        <w:ind w:left="0" w:hanging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Výdavky na mzdy a odvody pre 2 pracovníčky boli vynaložené vo výške </w:t>
      </w:r>
      <w:r>
        <w:rPr>
          <w:rFonts w:eastAsia="Times New Roman" w:cs="Times New Roman" w:ascii="Times New Roman" w:hAnsi="Times New Roman"/>
          <w:color w:val="auto"/>
          <w:kern w:val="0"/>
          <w:sz w:val="24"/>
          <w:szCs w:val="24"/>
          <w:lang w:val="en-US" w:eastAsia="en-US" w:bidi="en-US"/>
        </w:rPr>
        <w:t>38 483,44</w:t>
      </w:r>
      <w:r>
        <w:rPr>
          <w:rFonts w:ascii="Times New Roman" w:hAnsi="Times New Roman"/>
          <w:sz w:val="24"/>
          <w:szCs w:val="24"/>
        </w:rPr>
        <w:t xml:space="preserve"> € </w:t>
      </w:r>
      <w:r>
        <w:rPr>
          <w:rFonts w:eastAsia="Times New Roman" w:cs="Times New Roman" w:ascii="Times New Roman" w:hAnsi="Times New Roman"/>
          <w:color w:val="auto"/>
          <w:kern w:val="0"/>
          <w:sz w:val="24"/>
          <w:szCs w:val="24"/>
          <w:lang w:val="en-US" w:eastAsia="en-US" w:bidi="en-US"/>
        </w:rPr>
        <w:t>plus</w:t>
      </w:r>
      <w:r>
        <w:rPr>
          <w:rFonts w:ascii="Times New Roman" w:hAnsi="Times New Roman"/>
          <w:sz w:val="24"/>
          <w:szCs w:val="24"/>
        </w:rPr>
        <w:t xml:space="preserve"> refundácia za ekonomickú a administratívnu činnosť do výšky príspevku, t.j. </w:t>
      </w:r>
      <w:r>
        <w:rPr>
          <w:rFonts w:eastAsia="Times New Roman" w:cs="Times New Roman" w:ascii="Times New Roman" w:hAnsi="Times New Roman"/>
          <w:color w:val="auto"/>
          <w:kern w:val="0"/>
          <w:sz w:val="24"/>
          <w:szCs w:val="24"/>
          <w:lang w:val="en-US" w:eastAsia="en-US" w:bidi="en-US"/>
        </w:rPr>
        <w:t>6 187,89</w:t>
      </w:r>
      <w:r>
        <w:rPr>
          <w:rFonts w:ascii="Times New Roman" w:hAnsi="Times New Roman"/>
          <w:sz w:val="24"/>
          <w:szCs w:val="24"/>
        </w:rPr>
        <w:t xml:space="preserve"> €.</w:t>
      </w:r>
    </w:p>
    <w:p>
      <w:pPr>
        <w:pStyle w:val="ListParagraph"/>
        <w:tabs>
          <w:tab w:val="clear" w:pos="720"/>
          <w:tab w:val="left" w:pos="567" w:leader="none"/>
          <w:tab w:val="left" w:pos="3435" w:leader="none"/>
          <w:tab w:val="center" w:pos="4536" w:leader="none"/>
        </w:tabs>
        <w:spacing w:lineRule="auto" w:line="360" w:before="0" w:after="0"/>
        <w:ind w:left="0" w:hanging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Ďalší, dosť podstatný vplyv výdavky spojené s činnosťou denného stacionára je financovanie stravného z rozpočtu obce vo výške </w:t>
      </w:r>
      <w:r>
        <w:rPr>
          <w:rFonts w:eastAsia="Times New Roman" w:cs="Times New Roman" w:ascii="Times New Roman" w:hAnsi="Times New Roman"/>
          <w:color w:val="auto"/>
          <w:kern w:val="0"/>
          <w:sz w:val="24"/>
          <w:szCs w:val="24"/>
          <w:lang w:val="en-US" w:eastAsia="en-US" w:bidi="en-US"/>
        </w:rPr>
        <w:t>5 251,20</w:t>
      </w:r>
      <w:r>
        <w:rPr>
          <w:rFonts w:ascii="Times New Roman" w:hAnsi="Times New Roman"/>
          <w:sz w:val="24"/>
          <w:szCs w:val="24"/>
        </w:rPr>
        <w:t xml:space="preserve"> €, energie a telekomunikačné služby vo výške </w:t>
      </w:r>
      <w:r>
        <w:rPr>
          <w:rFonts w:eastAsia="Times New Roman" w:cs="Times New Roman" w:ascii="Times New Roman" w:hAnsi="Times New Roman"/>
          <w:color w:val="auto"/>
          <w:kern w:val="0"/>
          <w:sz w:val="24"/>
          <w:szCs w:val="24"/>
          <w:lang w:val="en-US" w:eastAsia="en-US" w:bidi="en-US"/>
        </w:rPr>
        <w:t>7 158,02</w:t>
      </w:r>
      <w:r>
        <w:rPr>
          <w:rFonts w:ascii="Times New Roman" w:hAnsi="Times New Roman"/>
          <w:sz w:val="24"/>
          <w:szCs w:val="24"/>
        </w:rPr>
        <w:t xml:space="preserve"> € , všeobecný material </w:t>
      </w:r>
      <w:r>
        <w:rPr>
          <w:rFonts w:eastAsia="Times New Roman" w:cs="Times New Roman" w:ascii="Times New Roman" w:hAnsi="Times New Roman"/>
          <w:color w:val="auto"/>
          <w:kern w:val="0"/>
          <w:sz w:val="24"/>
          <w:szCs w:val="24"/>
          <w:lang w:val="en-US" w:eastAsia="en-US" w:bidi="en-US"/>
        </w:rPr>
        <w:t>621,36</w:t>
      </w:r>
      <w:r>
        <w:rPr>
          <w:rFonts w:ascii="Times New Roman" w:hAnsi="Times New Roman"/>
          <w:sz w:val="24"/>
          <w:szCs w:val="24"/>
        </w:rPr>
        <w:t xml:space="preserve"> €, poplatky za školenia a posudky </w:t>
      </w:r>
      <w:r>
        <w:rPr>
          <w:rFonts w:eastAsia="Times New Roman" w:cs="Times New Roman" w:ascii="Times New Roman" w:hAnsi="Times New Roman"/>
          <w:color w:val="auto"/>
          <w:kern w:val="0"/>
          <w:sz w:val="24"/>
          <w:szCs w:val="24"/>
          <w:lang w:val="en-US" w:eastAsia="en-US" w:bidi="en-US"/>
        </w:rPr>
        <w:t>58,00</w:t>
      </w:r>
      <w:r>
        <w:rPr>
          <w:rFonts w:ascii="Times New Roman" w:hAnsi="Times New Roman"/>
          <w:sz w:val="24"/>
          <w:szCs w:val="24"/>
        </w:rPr>
        <w:t xml:space="preserve"> €.</w:t>
      </w:r>
    </w:p>
    <w:p>
      <w:pPr>
        <w:pStyle w:val="ListParagraph"/>
        <w:tabs>
          <w:tab w:val="clear" w:pos="720"/>
          <w:tab w:val="left" w:pos="567" w:leader="none"/>
          <w:tab w:val="left" w:pos="3435" w:leader="none"/>
          <w:tab w:val="center" w:pos="4536" w:leader="none"/>
        </w:tabs>
        <w:spacing w:lineRule="auto" w:line="360" w:before="0" w:after="0"/>
        <w:ind w:left="0" w:hanging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7"/>
        </w:numPr>
        <w:ind w:left="284" w:hanging="284"/>
        <w:rPr>
          <w:b/>
          <w:b/>
        </w:rPr>
      </w:pPr>
      <w:r>
        <w:rPr>
          <w:b/>
        </w:rPr>
        <w:t xml:space="preserve">Kapitálové výdavky </w:t>
      </w:r>
    </w:p>
    <w:p>
      <w:pPr>
        <w:pStyle w:val="Normal"/>
        <w:ind w:left="284" w:hanging="0"/>
        <w:rPr>
          <w:b/>
          <w:b/>
        </w:rPr>
      </w:pPr>
      <w:r>
        <w:rPr>
          <w:b/>
        </w:rPr>
      </w:r>
    </w:p>
    <w:tbl>
      <w:tblPr>
        <w:tblW w:w="8954" w:type="dxa"/>
        <w:jc w:val="left"/>
        <w:tblInd w:w="3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0" w:lastRow="1" w:firstColumn="1" w:lastColumn="1" w:noHBand="0" w:val="01e0"/>
      </w:tblPr>
      <w:tblGrid>
        <w:gridCol w:w="3689"/>
        <w:gridCol w:w="3390"/>
        <w:gridCol w:w="1875"/>
      </w:tblGrid>
      <w:tr>
        <w:trPr/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widowControl w:val="false"/>
              <w:jc w:val="center"/>
              <w:rPr>
                <w:b/>
                <w:b/>
              </w:rPr>
            </w:pPr>
            <w:r>
              <w:rPr>
                <w:b/>
              </w:rPr>
              <w:t xml:space="preserve"> </w:t>
            </w:r>
            <w:r>
              <w:rPr>
                <w:b/>
              </w:rPr>
              <w:t>Schválený rozpočet na rok 2025 po poslednej zmene</w:t>
            </w:r>
          </w:p>
        </w:tc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widowControl w:val="false"/>
              <w:jc w:val="center"/>
              <w:rPr>
                <w:b/>
                <w:b/>
              </w:rPr>
            </w:pPr>
            <w:r>
              <w:rPr>
                <w:b/>
              </w:rPr>
              <w:t>Skutočnosť k 31.12.2025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widowControl w:val="false"/>
              <w:jc w:val="center"/>
              <w:rPr>
                <w:b/>
                <w:b/>
              </w:rPr>
            </w:pPr>
            <w:r>
              <w:rPr>
                <w:b/>
              </w:rPr>
              <w:t>% čerpania</w:t>
            </w:r>
          </w:p>
        </w:tc>
      </w:tr>
      <w:tr>
        <w:trPr/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/>
              <w:t>900,00</w:t>
            </w:r>
          </w:p>
        </w:tc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/>
              <w:t>900,00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</w:pPr>
            <w:r>
              <w:rPr>
                <w:rFonts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  <w:t>100,00 %</w:t>
            </w:r>
          </w:p>
        </w:tc>
      </w:tr>
    </w:tbl>
    <w:p>
      <w:pPr>
        <w:pStyle w:val="Normal"/>
        <w:numPr>
          <w:ilvl w:val="0"/>
          <w:numId w:val="0"/>
        </w:numPr>
        <w:ind w:left="0" w:hanging="0"/>
        <w:outlineLvl w:val="0"/>
        <w:rPr/>
      </w:pPr>
      <w:r>
        <w:rPr/>
      </w:r>
    </w:p>
    <w:p>
      <w:pPr>
        <w:pStyle w:val="Normal"/>
        <w:spacing w:lineRule="auto" w:line="360"/>
        <w:jc w:val="both"/>
        <w:rPr/>
      </w:pPr>
      <w:r>
        <w:rPr/>
        <w:t xml:space="preserve">Z rozpočtovaných kapitálových výdavkov </w:t>
      </w:r>
      <w:r>
        <w:rPr>
          <w:rFonts w:eastAsia="Times New Roman" w:cs="Times New Roman"/>
          <w:color w:val="auto"/>
          <w:kern w:val="0"/>
          <w:sz w:val="24"/>
          <w:szCs w:val="24"/>
          <w:lang w:val="sk-SK" w:eastAsia="cs-CZ" w:bidi="ar-SA"/>
        </w:rPr>
        <w:t>900,00</w:t>
      </w:r>
      <w:r>
        <w:rPr/>
        <w:t xml:space="preserve"> € bolo skutočne čerpané k 31.12.2025 v sume </w:t>
      </w:r>
      <w:r>
        <w:rPr>
          <w:rFonts w:eastAsia="Times New Roman" w:cs="Times New Roman"/>
          <w:color w:val="auto"/>
          <w:kern w:val="0"/>
          <w:sz w:val="24"/>
          <w:szCs w:val="24"/>
          <w:lang w:val="sk-SK" w:eastAsia="cs-CZ" w:bidi="ar-SA"/>
        </w:rPr>
        <w:t>900,00</w:t>
      </w:r>
      <w:r>
        <w:rPr/>
        <w:t xml:space="preserve"> €, čo predstavuje  </w:t>
      </w:r>
      <w:r>
        <w:rPr>
          <w:rFonts w:eastAsia="Times New Roman" w:cs="Times New Roman"/>
          <w:color w:val="auto"/>
          <w:kern w:val="0"/>
          <w:sz w:val="24"/>
          <w:szCs w:val="24"/>
          <w:lang w:val="sk-SK" w:eastAsia="cs-CZ" w:bidi="ar-SA"/>
        </w:rPr>
        <w:t>100</w:t>
      </w:r>
      <w:r>
        <w:rPr/>
        <w:t xml:space="preserve">  % čerpanie. </w:t>
      </w:r>
    </w:p>
    <w:p>
      <w:pPr>
        <w:pStyle w:val="Normal"/>
        <w:numPr>
          <w:ilvl w:val="0"/>
          <w:numId w:val="0"/>
        </w:numPr>
        <w:spacing w:lineRule="auto" w:line="360"/>
        <w:ind w:left="0" w:hanging="0"/>
        <w:outlineLvl w:val="0"/>
        <w:rPr/>
      </w:pPr>
      <w:r>
        <w:rPr/>
      </w:r>
    </w:p>
    <w:tbl>
      <w:tblPr>
        <w:tblW w:w="8998" w:type="dxa"/>
        <w:jc w:val="left"/>
        <w:tblInd w:w="3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0" w:lastRow="1" w:firstColumn="1" w:lastColumn="1" w:noHBand="0" w:val="01e0"/>
      </w:tblPr>
      <w:tblGrid>
        <w:gridCol w:w="5835"/>
        <w:gridCol w:w="1708"/>
        <w:gridCol w:w="1455"/>
      </w:tblGrid>
      <w:tr>
        <w:trPr>
          <w:trHeight w:val="286" w:hRule="atLeast"/>
        </w:trPr>
        <w:tc>
          <w:tcPr>
            <w:tcW w:w="5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widowControl w:val="false"/>
              <w:jc w:val="center"/>
              <w:rPr>
                <w:b/>
                <w:b/>
              </w:rPr>
            </w:pPr>
            <w:r>
              <w:rPr>
                <w:b/>
              </w:rPr>
              <w:t>Funkčná klasifikácia</w:t>
            </w:r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widowControl w:val="false"/>
              <w:jc w:val="center"/>
              <w:rPr>
                <w:b/>
                <w:b/>
              </w:rPr>
            </w:pPr>
            <w:r>
              <w:rPr>
                <w:b/>
              </w:rPr>
              <w:t>Rozpočet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widowControl w:val="false"/>
              <w:jc w:val="center"/>
              <w:rPr>
                <w:b/>
                <w:b/>
              </w:rPr>
            </w:pPr>
            <w:r>
              <w:rPr>
                <w:b/>
              </w:rPr>
              <w:t>Skutočnosť</w:t>
            </w:r>
          </w:p>
        </w:tc>
      </w:tr>
      <w:tr>
        <w:trPr>
          <w:trHeight w:val="286" w:hRule="atLeast"/>
        </w:trPr>
        <w:tc>
          <w:tcPr>
            <w:tcW w:w="5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color w:val="000000"/>
                <w:lang w:eastAsia="sk-SK"/>
              </w:rPr>
            </w:pPr>
            <w:r>
              <w:rPr>
                <w:color w:val="000000"/>
                <w:lang w:eastAsia="sk-SK"/>
              </w:rPr>
              <w:t>Projektová dokumentácia verejné osvetlenie</w:t>
            </w:r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jc w:val="right"/>
              <w:rPr>
                <w:color w:val="000000"/>
                <w:lang w:eastAsia="sk-SK"/>
              </w:rPr>
            </w:pPr>
            <w:r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val="sk-SK" w:eastAsia="sk-SK" w:bidi="ar-SA"/>
              </w:rPr>
              <w:t>900</w:t>
            </w:r>
            <w:r>
              <w:rPr>
                <w:color w:val="000000"/>
                <w:lang w:eastAsia="sk-SK"/>
              </w:rPr>
              <w:t>,00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jc w:val="right"/>
              <w:rPr>
                <w:color w:val="000000"/>
                <w:lang w:eastAsia="sk-SK"/>
              </w:rPr>
            </w:pPr>
            <w:r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val="sk-SK" w:eastAsia="sk-SK" w:bidi="ar-SA"/>
              </w:rPr>
              <w:t>9</w:t>
            </w:r>
            <w:r>
              <w:rPr>
                <w:color w:val="000000"/>
                <w:lang w:eastAsia="sk-SK"/>
              </w:rPr>
              <w:t>00,00</w:t>
            </w:r>
          </w:p>
        </w:tc>
      </w:tr>
      <w:tr>
        <w:trPr>
          <w:trHeight w:val="286" w:hRule="atLeast"/>
        </w:trPr>
        <w:tc>
          <w:tcPr>
            <w:tcW w:w="5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jc w:val="right"/>
              <w:rPr/>
            </w:pPr>
            <w:r>
              <w:rPr/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jc w:val="right"/>
              <w:rPr/>
            </w:pPr>
            <w:r>
              <w:rPr/>
            </w:r>
          </w:p>
        </w:tc>
      </w:tr>
      <w:tr>
        <w:trPr>
          <w:trHeight w:val="286" w:hRule="atLeast"/>
        </w:trPr>
        <w:tc>
          <w:tcPr>
            <w:tcW w:w="5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jc w:val="right"/>
              <w:rPr/>
            </w:pPr>
            <w:r>
              <w:rPr/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jc w:val="right"/>
              <w:rPr/>
            </w:pPr>
            <w:r>
              <w:rPr/>
            </w:r>
          </w:p>
        </w:tc>
      </w:tr>
      <w:tr>
        <w:trPr>
          <w:trHeight w:val="286" w:hRule="atLeast"/>
        </w:trPr>
        <w:tc>
          <w:tcPr>
            <w:tcW w:w="5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20"/>
                <w:tab w:val="left" w:pos="1350" w:leader="none"/>
              </w:tabs>
              <w:rPr>
                <w:b/>
                <w:b/>
              </w:rPr>
            </w:pPr>
            <w:r>
              <w:rPr>
                <w:b/>
              </w:rPr>
              <w:t>S p o l u :</w:t>
            </w:r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>
                <w:b/>
                <w:b/>
              </w:rPr>
            </w:pPr>
            <w:r>
              <w:rPr>
                <w:rFonts w:eastAsia="Times New Roman" w:cs="Times New Roman"/>
                <w:b/>
                <w:color w:val="auto"/>
                <w:kern w:val="0"/>
                <w:sz w:val="24"/>
                <w:szCs w:val="24"/>
                <w:lang w:val="sk-SK" w:eastAsia="cs-CZ" w:bidi="ar-SA"/>
              </w:rPr>
              <w:t>900</w:t>
            </w:r>
            <w:r>
              <w:rPr>
                <w:b/>
              </w:rPr>
              <w:t>,00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>
                <w:b/>
                <w:b/>
              </w:rPr>
            </w:pPr>
            <w:r>
              <w:rPr>
                <w:b/>
              </w:rPr>
              <w:t xml:space="preserve"> </w:t>
            </w:r>
            <w:r>
              <w:rPr>
                <w:rFonts w:eastAsia="Times New Roman" w:cs="Times New Roman"/>
                <w:b/>
                <w:color w:val="auto"/>
                <w:kern w:val="0"/>
                <w:sz w:val="24"/>
                <w:szCs w:val="24"/>
                <w:lang w:val="sk-SK" w:eastAsia="cs-CZ" w:bidi="ar-SA"/>
              </w:rPr>
              <w:t>900,00</w:t>
            </w:r>
          </w:p>
        </w:tc>
      </w:tr>
    </w:tbl>
    <w:p>
      <w:pPr>
        <w:pStyle w:val="Normal"/>
        <w:numPr>
          <w:ilvl w:val="0"/>
          <w:numId w:val="0"/>
        </w:numPr>
        <w:ind w:left="0" w:hanging="0"/>
        <w:outlineLvl w:val="0"/>
        <w:rPr/>
      </w:pPr>
      <w:r>
        <w:rPr/>
      </w:r>
    </w:p>
    <w:p>
      <w:pPr>
        <w:pStyle w:val="Normal"/>
        <w:spacing w:lineRule="auto" w:line="360"/>
        <w:jc w:val="both"/>
        <w:rPr/>
      </w:pPr>
      <w:r>
        <w:rPr/>
        <w:t xml:space="preserve">V rámci kapitálových výdavkov bola </w:t>
      </w:r>
      <w:r>
        <w:rPr>
          <w:rFonts w:eastAsia="Times New Roman" w:cs="Times New Roman"/>
          <w:color w:val="auto"/>
          <w:kern w:val="0"/>
          <w:sz w:val="24"/>
          <w:szCs w:val="24"/>
          <w:lang w:val="sk-SK" w:eastAsia="cs-CZ" w:bidi="ar-SA"/>
        </w:rPr>
        <w:t>spracovaná projektová dokumentácia na verejné osvetlenie.</w:t>
      </w:r>
    </w:p>
    <w:p>
      <w:pPr>
        <w:pStyle w:val="Normal"/>
        <w:spacing w:lineRule="auto" w:line="360"/>
        <w:jc w:val="both"/>
        <w:rPr>
          <w:b/>
          <w:b/>
        </w:rPr>
      </w:pPr>
      <w:r>
        <w:rPr>
          <w:b/>
        </w:rPr>
      </w:r>
    </w:p>
    <w:p>
      <w:pPr>
        <w:pStyle w:val="ListParagraph"/>
        <w:numPr>
          <w:ilvl w:val="0"/>
          <w:numId w:val="7"/>
        </w:numPr>
        <w:spacing w:lineRule="auto" w:line="360"/>
        <w:jc w:val="both"/>
        <w:rPr>
          <w:rFonts w:ascii="Times New Roman" w:hAnsi="Times New Roman"/>
          <w:b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Výdavkové finančné operácie </w:t>
      </w:r>
    </w:p>
    <w:tbl>
      <w:tblPr>
        <w:tblW w:w="8954" w:type="dxa"/>
        <w:jc w:val="left"/>
        <w:tblInd w:w="3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0" w:lastRow="1" w:firstColumn="1" w:lastColumn="1" w:noHBand="0" w:val="01e0"/>
      </w:tblPr>
      <w:tblGrid>
        <w:gridCol w:w="3689"/>
        <w:gridCol w:w="3390"/>
        <w:gridCol w:w="1875"/>
      </w:tblGrid>
      <w:tr>
        <w:trPr/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widowControl w:val="false"/>
              <w:jc w:val="center"/>
              <w:rPr>
                <w:b/>
                <w:b/>
              </w:rPr>
            </w:pPr>
            <w:r>
              <w:rPr>
                <w:b/>
              </w:rPr>
              <w:t>Schválený rozpočet na rok 2025 po poslednej zmene</w:t>
            </w:r>
          </w:p>
        </w:tc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widowControl w:val="false"/>
              <w:jc w:val="center"/>
              <w:rPr>
                <w:b/>
                <w:b/>
              </w:rPr>
            </w:pPr>
            <w:r>
              <w:rPr>
                <w:b/>
              </w:rPr>
              <w:t>Skutočnosť k 31.12.2025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widowControl w:val="false"/>
              <w:jc w:val="center"/>
              <w:rPr>
                <w:b/>
                <w:b/>
              </w:rPr>
            </w:pPr>
            <w:r>
              <w:rPr>
                <w:b/>
              </w:rPr>
              <w:t>% čerpania</w:t>
            </w:r>
          </w:p>
        </w:tc>
      </w:tr>
      <w:tr>
        <w:trPr/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/>
            </w:pPr>
            <w:r>
              <w:rPr/>
              <w:t>9 700,00</w:t>
            </w:r>
          </w:p>
        </w:tc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/>
            </w:pPr>
            <w:r>
              <w:rPr/>
              <w:t>9 699,96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rFonts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  <w:t>100</w:t>
            </w:r>
            <w:r>
              <w:rPr/>
              <w:t xml:space="preserve"> %</w:t>
            </w:r>
          </w:p>
        </w:tc>
      </w:tr>
    </w:tbl>
    <w:p>
      <w:pPr>
        <w:pStyle w:val="Normal"/>
        <w:jc w:val="both"/>
        <w:rPr>
          <w:color w:val="FF0000"/>
        </w:rPr>
      </w:pPr>
      <w:r>
        <w:rPr>
          <w:color w:val="FF0000"/>
        </w:rPr>
      </w:r>
    </w:p>
    <w:p>
      <w:pPr>
        <w:pStyle w:val="Normal"/>
        <w:spacing w:lineRule="auto" w:line="360"/>
        <w:jc w:val="both"/>
        <w:rPr/>
      </w:pPr>
      <w:r>
        <w:rPr/>
        <w:t>Tieto finančné operácie vyjadrujú ročnú výšku splatenej istiny z prijatých úverov v Slovenskej sporiteľni za rok 2025.</w:t>
      </w:r>
      <w:r>
        <w:br w:type="page"/>
      </w:r>
    </w:p>
    <w:p>
      <w:pPr>
        <w:pStyle w:val="Normal"/>
        <w:tabs>
          <w:tab w:val="clear" w:pos="720"/>
          <w:tab w:val="right" w:pos="5040" w:leader="none"/>
        </w:tabs>
        <w:jc w:val="both"/>
        <w:rPr/>
      </w:pPr>
      <w:r>
        <w:rPr>
          <w:b/>
          <w:highlight w:val="lightGray"/>
        </w:rPr>
        <w:t>4. Prebytok/schodok rozpočtového hospodárenia za rok 2025</w:t>
      </w:r>
    </w:p>
    <w:p>
      <w:pPr>
        <w:pStyle w:val="Normal"/>
        <w:tabs>
          <w:tab w:val="clear" w:pos="720"/>
          <w:tab w:val="right" w:pos="5040" w:leader="none"/>
        </w:tabs>
        <w:jc w:val="both"/>
        <w:rPr>
          <w:b/>
          <w:b/>
          <w:highlight w:val="lightGray"/>
        </w:rPr>
      </w:pPr>
      <w:r>
        <w:rPr>
          <w:b/>
          <w:highlight w:val="lightGray"/>
        </w:rPr>
      </w:r>
    </w:p>
    <w:tbl>
      <w:tblPr>
        <w:tblW w:w="9111" w:type="dxa"/>
        <w:jc w:val="left"/>
        <w:tblInd w:w="12" w:type="dxa"/>
        <w:tblLayout w:type="fixed"/>
        <w:tblCellMar>
          <w:top w:w="0" w:type="dxa"/>
          <w:left w:w="22" w:type="dxa"/>
          <w:bottom w:w="0" w:type="dxa"/>
          <w:right w:w="10" w:type="dxa"/>
        </w:tblCellMar>
        <w:tblLook w:firstRow="1" w:noVBand="1" w:lastRow="0" w:firstColumn="1" w:lastColumn="0" w:noHBand="0" w:val="04a0"/>
      </w:tblPr>
      <w:tblGrid>
        <w:gridCol w:w="4478"/>
        <w:gridCol w:w="2437"/>
        <w:gridCol w:w="2196"/>
      </w:tblGrid>
      <w:tr>
        <w:trPr>
          <w:trHeight w:val="300" w:hRule="atLeast"/>
        </w:trPr>
        <w:tc>
          <w:tcPr>
            <w:tcW w:w="447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color="auto" w:fill="D9D9D9" w:val="clear"/>
            <w:vAlign w:val="center"/>
          </w:tcPr>
          <w:p>
            <w:pPr>
              <w:pStyle w:val="Normal"/>
              <w:widowControl w:val="false"/>
              <w:jc w:val="center"/>
              <w:rPr/>
            </w:pPr>
            <w:r>
              <w:rPr/>
              <w:t>;</w:t>
            </w:r>
          </w:p>
          <w:p>
            <w:pPr>
              <w:pStyle w:val="Normal"/>
              <w:widowControl w:val="false"/>
              <w:tabs>
                <w:tab w:val="clear" w:pos="720"/>
                <w:tab w:val="right" w:pos="8820" w:leader="none"/>
              </w:tabs>
              <w:jc w:val="center"/>
              <w:rPr/>
            </w:pPr>
            <w:r>
              <w:rPr>
                <w:rStyle w:val="Strong"/>
              </w:rPr>
              <w:t>Hospodárenie obce</w:t>
            </w:r>
          </w:p>
        </w:tc>
        <w:tc>
          <w:tcPr>
            <w:tcW w:w="2437" w:type="dxa"/>
            <w:vMerge w:val="restart"/>
            <w:tcBorders>
              <w:top w:val="single" w:sz="8" w:space="0" w:color="000000"/>
              <w:right w:val="single" w:sz="8" w:space="0" w:color="000000"/>
            </w:tcBorders>
            <w:shd w:color="auto" w:fill="D9D9D9" w:val="clear"/>
          </w:tcPr>
          <w:p>
            <w:pPr>
              <w:pStyle w:val="Normal"/>
              <w:widowControl w:val="false"/>
              <w:tabs>
                <w:tab w:val="clear" w:pos="720"/>
                <w:tab w:val="right" w:pos="8820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</w:r>
          </w:p>
          <w:p>
            <w:pPr>
              <w:pStyle w:val="Normal"/>
              <w:widowControl w:val="false"/>
              <w:tabs>
                <w:tab w:val="clear" w:pos="720"/>
                <w:tab w:val="right" w:pos="8820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Rozpočet 2025</w:t>
            </w:r>
          </w:p>
        </w:tc>
        <w:tc>
          <w:tcPr>
            <w:tcW w:w="2196" w:type="dxa"/>
            <w:vMerge w:val="restart"/>
            <w:tcBorders>
              <w:top w:val="single" w:sz="8" w:space="0" w:color="000000"/>
              <w:right w:val="single" w:sz="8" w:space="0" w:color="000000"/>
            </w:tcBorders>
            <w:shd w:color="auto" w:fill="D9D9D9" w:val="clear"/>
            <w:vAlign w:val="center"/>
          </w:tcPr>
          <w:p>
            <w:pPr>
              <w:pStyle w:val="Normal"/>
              <w:widowControl w:val="false"/>
              <w:tabs>
                <w:tab w:val="clear" w:pos="720"/>
                <w:tab w:val="right" w:pos="8820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</w:r>
          </w:p>
          <w:p>
            <w:pPr>
              <w:pStyle w:val="Normal"/>
              <w:widowControl w:val="false"/>
              <w:tabs>
                <w:tab w:val="clear" w:pos="720"/>
                <w:tab w:val="right" w:pos="8820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Skutočnosť k 31.12.2025 v EUR</w:t>
            </w:r>
          </w:p>
          <w:p>
            <w:pPr>
              <w:pStyle w:val="Normal"/>
              <w:widowControl w:val="false"/>
              <w:jc w:val="center"/>
              <w:rPr/>
            </w:pPr>
            <w:r>
              <w:rPr/>
            </w:r>
          </w:p>
        </w:tc>
      </w:tr>
      <w:tr>
        <w:trPr>
          <w:trHeight w:val="300" w:hRule="atLeast"/>
        </w:trPr>
        <w:tc>
          <w:tcPr>
            <w:tcW w:w="447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D9D9D9" w:val="clear"/>
            <w:vAlign w:val="center"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437" w:type="dxa"/>
            <w:vMerge w:val="continue"/>
            <w:tcBorders>
              <w:right w:val="single" w:sz="8" w:space="0" w:color="000000"/>
            </w:tcBorders>
            <w:shd w:color="auto" w:fill="D9D9D9" w:val="clear"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196" w:type="dxa"/>
            <w:vMerge w:val="continue"/>
            <w:tcBorders>
              <w:right w:val="single" w:sz="8" w:space="0" w:color="000000"/>
            </w:tcBorders>
            <w:shd w:color="auto" w:fill="D9D9D9" w:val="clear"/>
            <w:vAlign w:val="center"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00" w:hRule="atLeast"/>
        </w:trPr>
        <w:tc>
          <w:tcPr>
            <w:tcW w:w="447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rPr/>
            </w:pPr>
            <w:r>
              <w:rPr/>
              <w:t>Bežné  príjmy spolu</w:t>
            </w:r>
          </w:p>
        </w:tc>
        <w:tc>
          <w:tcPr>
            <w:tcW w:w="24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jc w:val="center"/>
              <w:rPr/>
            </w:pPr>
            <w:r>
              <w:rPr/>
              <w:t>297 127,00</w:t>
            </w:r>
          </w:p>
        </w:tc>
        <w:tc>
          <w:tcPr>
            <w:tcW w:w="21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/>
            </w:pPr>
            <w:r>
              <w:rPr/>
              <w:t>291 659,99</w:t>
            </w:r>
          </w:p>
        </w:tc>
      </w:tr>
      <w:tr>
        <w:trPr>
          <w:trHeight w:val="300" w:hRule="atLeast"/>
        </w:trPr>
        <w:tc>
          <w:tcPr>
            <w:tcW w:w="447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rPr/>
            </w:pPr>
            <w:r>
              <w:rPr/>
              <w:t>Bežné výdavky spolu</w:t>
            </w:r>
          </w:p>
        </w:tc>
        <w:tc>
          <w:tcPr>
            <w:tcW w:w="2437" w:type="dxa"/>
            <w:tcBorders>
              <w:left w:val="single" w:sz="8" w:space="0" w:color="000000"/>
              <w:bottom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jc w:val="center"/>
              <w:rPr/>
            </w:pPr>
            <w:r>
              <w:rPr/>
              <w:t>280 882,00</w:t>
            </w:r>
          </w:p>
        </w:tc>
        <w:tc>
          <w:tcPr>
            <w:tcW w:w="219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/>
            </w:pPr>
            <w:r>
              <w:rPr/>
              <w:t>274 748,39</w:t>
            </w:r>
          </w:p>
        </w:tc>
      </w:tr>
      <w:tr>
        <w:trPr>
          <w:trHeight w:val="285" w:hRule="atLeast"/>
        </w:trPr>
        <w:tc>
          <w:tcPr>
            <w:tcW w:w="4478" w:type="dxa"/>
            <w:tcBorders>
              <w:left w:val="single" w:sz="8" w:space="0" w:color="000000"/>
              <w:bottom w:val="single" w:sz="8" w:space="0" w:color="000000"/>
            </w:tcBorders>
            <w:shd w:color="auto" w:fill="D9D9D9" w:val="clear"/>
            <w:vAlign w:val="center"/>
          </w:tcPr>
          <w:p>
            <w:pPr>
              <w:pStyle w:val="Normal"/>
              <w:widowControl w:val="false"/>
              <w:rPr/>
            </w:pPr>
            <w:r>
              <w:rPr>
                <w:rStyle w:val="Zdraznenie"/>
                <w:b/>
                <w:bCs/>
              </w:rPr>
              <w:t>Bežný rozpočet</w:t>
            </w:r>
          </w:p>
        </w:tc>
        <w:tc>
          <w:tcPr>
            <w:tcW w:w="2437" w:type="dxa"/>
            <w:tcBorders>
              <w:left w:val="single" w:sz="8" w:space="0" w:color="000000"/>
              <w:bottom w:val="single" w:sz="8" w:space="0" w:color="000000"/>
            </w:tcBorders>
            <w:shd w:color="auto" w:fill="D9D9D9" w:val="clea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i/>
                <w:i/>
                <w:iCs/>
              </w:rPr>
            </w:pPr>
            <w:r>
              <w:rPr>
                <w:b/>
                <w:bCs/>
                <w:i/>
                <w:iCs/>
              </w:rPr>
              <w:t>+ 16 245,00</w:t>
            </w:r>
          </w:p>
        </w:tc>
        <w:tc>
          <w:tcPr>
            <w:tcW w:w="219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D9D9D9" w:val="clear"/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i/>
                <w:i/>
                <w:iCs/>
              </w:rPr>
            </w:pPr>
            <w:r>
              <w:rPr>
                <w:b/>
                <w:bCs/>
                <w:i/>
                <w:iCs/>
              </w:rPr>
              <w:t>+ 16 911,60</w:t>
            </w:r>
          </w:p>
        </w:tc>
      </w:tr>
      <w:tr>
        <w:trPr>
          <w:trHeight w:val="300" w:hRule="atLeast"/>
        </w:trPr>
        <w:tc>
          <w:tcPr>
            <w:tcW w:w="447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rPr/>
            </w:pPr>
            <w:r>
              <w:rPr/>
              <w:t>Kapitálové  príjmy spolu</w:t>
            </w:r>
          </w:p>
        </w:tc>
        <w:tc>
          <w:tcPr>
            <w:tcW w:w="2437" w:type="dxa"/>
            <w:tcBorders>
              <w:left w:val="single" w:sz="8" w:space="0" w:color="000000"/>
              <w:bottom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jc w:val="center"/>
              <w:rPr/>
            </w:pPr>
            <w:r>
              <w:rPr/>
              <w:t>24 620,00</w:t>
            </w:r>
          </w:p>
        </w:tc>
        <w:tc>
          <w:tcPr>
            <w:tcW w:w="219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/>
            </w:pPr>
            <w:r>
              <w:rPr/>
              <w:t>24 611,45</w:t>
            </w:r>
          </w:p>
        </w:tc>
      </w:tr>
      <w:tr>
        <w:trPr>
          <w:trHeight w:val="300" w:hRule="atLeast"/>
        </w:trPr>
        <w:tc>
          <w:tcPr>
            <w:tcW w:w="447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rPr/>
            </w:pPr>
            <w:r>
              <w:rPr/>
              <w:t>Kapitálové  výdavky spolu</w:t>
            </w:r>
          </w:p>
        </w:tc>
        <w:tc>
          <w:tcPr>
            <w:tcW w:w="2437" w:type="dxa"/>
            <w:tcBorders>
              <w:left w:val="single" w:sz="8" w:space="0" w:color="000000"/>
              <w:bottom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jc w:val="center"/>
              <w:rPr/>
            </w:pPr>
            <w:r>
              <w:rPr/>
              <w:t>900,00</w:t>
            </w:r>
          </w:p>
        </w:tc>
        <w:tc>
          <w:tcPr>
            <w:tcW w:w="219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</w:pPr>
            <w:r>
              <w:rPr>
                <w:rFonts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  <w:t>900,00</w:t>
            </w:r>
          </w:p>
        </w:tc>
      </w:tr>
      <w:tr>
        <w:trPr>
          <w:trHeight w:val="300" w:hRule="atLeast"/>
        </w:trPr>
        <w:tc>
          <w:tcPr>
            <w:tcW w:w="447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Normal"/>
              <w:widowControl w:val="false"/>
              <w:rPr>
                <w:b/>
                <w:b/>
                <w:i/>
                <w:i/>
              </w:rPr>
            </w:pPr>
            <w:r>
              <w:rPr>
                <w:b/>
                <w:i/>
              </w:rPr>
              <w:t>Kapitálový rozpočet</w:t>
            </w:r>
          </w:p>
        </w:tc>
        <w:tc>
          <w:tcPr>
            <w:tcW w:w="2437" w:type="dxa"/>
            <w:tcBorders>
              <w:left w:val="single" w:sz="8" w:space="0" w:color="000000"/>
              <w:bottom w:val="single" w:sz="8" w:space="0" w:color="000000"/>
            </w:tcBorders>
            <w:shd w:color="auto" w:fill="D9D9D9" w:themeFill="background1" w:themeFillShade="d9" w:val="clear"/>
          </w:tcPr>
          <w:p>
            <w:pPr>
              <w:pStyle w:val="Normal"/>
              <w:widowControl w:val="false"/>
              <w:jc w:val="center"/>
              <w:rPr>
                <w:b/>
                <w:b/>
                <w:i/>
                <w:i/>
              </w:rPr>
            </w:pPr>
            <w:r>
              <w:rPr>
                <w:b/>
                <w:i/>
              </w:rPr>
              <w:t>+ 23 720,00</w:t>
            </w:r>
          </w:p>
        </w:tc>
        <w:tc>
          <w:tcPr>
            <w:tcW w:w="219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i/>
                <w:i/>
              </w:rPr>
            </w:pPr>
            <w:r>
              <w:rPr>
                <w:b/>
                <w:i/>
              </w:rPr>
              <w:t>+ 23 711,45</w:t>
            </w:r>
          </w:p>
        </w:tc>
      </w:tr>
      <w:tr>
        <w:trPr>
          <w:trHeight w:val="285" w:hRule="atLeast"/>
        </w:trPr>
        <w:tc>
          <w:tcPr>
            <w:tcW w:w="4478" w:type="dxa"/>
            <w:tcBorders>
              <w:left w:val="single" w:sz="8" w:space="0" w:color="000000"/>
              <w:bottom w:val="single" w:sz="8" w:space="0" w:color="000000"/>
            </w:tcBorders>
            <w:shd w:color="auto" w:fill="DDD9C3" w:val="clear"/>
            <w:vAlign w:val="center"/>
          </w:tcPr>
          <w:p>
            <w:pPr>
              <w:pStyle w:val="Normal"/>
              <w:widowControl w:val="false"/>
              <w:rPr/>
            </w:pPr>
            <w:r>
              <w:rPr>
                <w:rStyle w:val="Zdraznenie"/>
                <w:b/>
                <w:bCs/>
                <w:sz w:val="20"/>
              </w:rPr>
              <w:t>Prebytok/schodok bežného a kapitálového rozpočtu</w:t>
            </w:r>
          </w:p>
        </w:tc>
        <w:tc>
          <w:tcPr>
            <w:tcW w:w="2437" w:type="dxa"/>
            <w:tcBorders>
              <w:left w:val="single" w:sz="8" w:space="0" w:color="000000"/>
              <w:bottom w:val="single" w:sz="8" w:space="0" w:color="000000"/>
            </w:tcBorders>
            <w:shd w:color="auto" w:fill="DDD9C3" w:val="clea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i/>
                <w:i/>
                <w:iCs/>
              </w:rPr>
            </w:pPr>
            <w:r>
              <w:rPr>
                <w:b/>
                <w:bCs/>
                <w:i/>
                <w:iCs/>
              </w:rPr>
              <w:t>+ 39 </w:t>
            </w:r>
            <w:r>
              <w:rPr>
                <w:rFonts w:eastAsia="Times New Roman" w:cs="Times New Roman"/>
                <w:b/>
                <w:bCs/>
                <w:i/>
                <w:iCs/>
                <w:color w:val="auto"/>
                <w:kern w:val="0"/>
                <w:sz w:val="24"/>
                <w:szCs w:val="24"/>
                <w:lang w:val="sk-SK" w:eastAsia="cs-CZ" w:bidi="ar-SA"/>
              </w:rPr>
              <w:t>965,00</w:t>
            </w:r>
          </w:p>
        </w:tc>
        <w:tc>
          <w:tcPr>
            <w:tcW w:w="219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DDD9C3" w:val="clear"/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i/>
                <w:i/>
                <w:iCs/>
              </w:rPr>
            </w:pPr>
            <w:r>
              <w:rPr>
                <w:b/>
                <w:bCs/>
                <w:i/>
                <w:iCs/>
              </w:rPr>
              <w:t>+ 40 </w:t>
            </w:r>
            <w:r>
              <w:rPr>
                <w:rFonts w:eastAsia="Times New Roman" w:cs="Times New Roman"/>
                <w:b/>
                <w:bCs/>
                <w:i/>
                <w:iCs/>
                <w:color w:val="auto"/>
                <w:kern w:val="0"/>
                <w:sz w:val="24"/>
                <w:szCs w:val="24"/>
                <w:lang w:val="sk-SK" w:eastAsia="cs-CZ" w:bidi="ar-SA"/>
              </w:rPr>
              <w:t>623,05</w:t>
            </w:r>
          </w:p>
        </w:tc>
      </w:tr>
      <w:tr>
        <w:trPr>
          <w:trHeight w:val="300" w:hRule="atLeast"/>
        </w:trPr>
        <w:tc>
          <w:tcPr>
            <w:tcW w:w="4478" w:type="dxa"/>
            <w:tcBorders>
              <w:left w:val="single" w:sz="8" w:space="0" w:color="000000"/>
              <w:bottom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rPr/>
            </w:pPr>
            <w:r>
              <w:rPr/>
              <w:t>Príjmové finančné operácie</w:t>
            </w:r>
          </w:p>
        </w:tc>
        <w:tc>
          <w:tcPr>
            <w:tcW w:w="2437" w:type="dxa"/>
            <w:tcBorders>
              <w:left w:val="single" w:sz="8" w:space="0" w:color="000000"/>
              <w:bottom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/>
            </w:pPr>
            <w:r>
              <w:rPr/>
              <w:t>16 000,00</w:t>
            </w:r>
          </w:p>
        </w:tc>
        <w:tc>
          <w:tcPr>
            <w:tcW w:w="219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/>
            </w:pPr>
            <w:r>
              <w:rPr/>
              <w:t>5 957,41</w:t>
            </w:r>
          </w:p>
        </w:tc>
      </w:tr>
      <w:tr>
        <w:trPr>
          <w:trHeight w:val="300" w:hRule="atLeast"/>
        </w:trPr>
        <w:tc>
          <w:tcPr>
            <w:tcW w:w="4478" w:type="dxa"/>
            <w:tcBorders>
              <w:left w:val="single" w:sz="8" w:space="0" w:color="000000"/>
              <w:bottom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rPr/>
            </w:pPr>
            <w:r>
              <w:rPr/>
              <w:t>Výdavkové finančné operácie</w:t>
            </w:r>
          </w:p>
        </w:tc>
        <w:tc>
          <w:tcPr>
            <w:tcW w:w="2437" w:type="dxa"/>
            <w:tcBorders>
              <w:left w:val="single" w:sz="8" w:space="0" w:color="000000"/>
              <w:bottom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/>
            </w:pPr>
            <w:r>
              <w:rPr/>
              <w:t>9 700,00</w:t>
            </w:r>
          </w:p>
        </w:tc>
        <w:tc>
          <w:tcPr>
            <w:tcW w:w="219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/>
            </w:pPr>
            <w:r>
              <w:rPr/>
              <w:t>9 699,96</w:t>
            </w:r>
          </w:p>
        </w:tc>
      </w:tr>
      <w:tr>
        <w:trPr>
          <w:trHeight w:val="285" w:hRule="atLeast"/>
        </w:trPr>
        <w:tc>
          <w:tcPr>
            <w:tcW w:w="447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D9D9D9" w:themeFill="background1" w:themeFillShade="d9" w:val="clear"/>
          </w:tcPr>
          <w:p>
            <w:pPr>
              <w:pStyle w:val="Normal"/>
              <w:widowControl w:val="false"/>
              <w:rPr/>
            </w:pPr>
            <w:r>
              <w:rPr>
                <w:rStyle w:val="Zdraznenie"/>
                <w:b/>
                <w:bCs/>
              </w:rPr>
              <w:t>Rozdiel finančných operácií</w:t>
            </w:r>
          </w:p>
        </w:tc>
        <w:tc>
          <w:tcPr>
            <w:tcW w:w="2437" w:type="dxa"/>
            <w:tcBorders>
              <w:left w:val="single" w:sz="8" w:space="0" w:color="000000"/>
              <w:bottom w:val="single" w:sz="8" w:space="0" w:color="000000"/>
            </w:tcBorders>
            <w:shd w:color="auto" w:fill="D9D9D9" w:themeFill="background1" w:themeFillShade="d9" w:val="clea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i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+ </w:t>
            </w:r>
            <w:r>
              <w:rPr>
                <w:rFonts w:eastAsia="Times New Roman" w:cs="Times New Roman"/>
                <w:b/>
                <w:bCs/>
                <w:i/>
                <w:iCs/>
                <w:color w:val="auto"/>
                <w:kern w:val="0"/>
                <w:sz w:val="24"/>
                <w:szCs w:val="24"/>
                <w:lang w:val="sk-SK" w:eastAsia="cs-CZ" w:bidi="ar-SA"/>
              </w:rPr>
              <w:t>6 300,00</w:t>
            </w:r>
          </w:p>
        </w:tc>
        <w:tc>
          <w:tcPr>
            <w:tcW w:w="219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D9D9D9" w:val="clear"/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i/>
                <w:i/>
                <w:iCs/>
              </w:rPr>
            </w:pPr>
            <w:r>
              <w:rPr>
                <w:b/>
                <w:bCs/>
                <w:i/>
                <w:iCs/>
              </w:rPr>
              <w:t>- 3 742,55</w:t>
            </w:r>
          </w:p>
        </w:tc>
      </w:tr>
      <w:tr>
        <w:trPr>
          <w:trHeight w:val="300" w:hRule="atLeast"/>
        </w:trPr>
        <w:tc>
          <w:tcPr>
            <w:tcW w:w="4478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caps/>
              </w:rPr>
            </w:pPr>
            <w:r>
              <w:rPr>
                <w:caps/>
              </w:rPr>
              <w:t>Príjmy spolu</w:t>
            </w:r>
          </w:p>
        </w:tc>
        <w:tc>
          <w:tcPr>
            <w:tcW w:w="2437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/>
            </w:pPr>
            <w:r>
              <w:rPr/>
              <w:t>337 747,00</w:t>
            </w:r>
          </w:p>
        </w:tc>
        <w:tc>
          <w:tcPr>
            <w:tcW w:w="219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right="-51" w:hanging="0"/>
              <w:jc w:val="center"/>
              <w:rPr/>
            </w:pPr>
            <w:r>
              <w:rPr/>
              <w:t>322 228,85</w:t>
            </w:r>
          </w:p>
        </w:tc>
      </w:tr>
      <w:tr>
        <w:trPr>
          <w:trHeight w:val="300" w:hRule="atLeast"/>
        </w:trPr>
        <w:tc>
          <w:tcPr>
            <w:tcW w:w="4478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/>
            </w:pPr>
            <w:r>
              <w:rPr>
                <w:caps/>
              </w:rPr>
              <w:t>VÝDAVKY</w:t>
            </w:r>
            <w:r>
              <w:rPr/>
              <w:t xml:space="preserve"> SPOLU</w:t>
            </w:r>
          </w:p>
        </w:tc>
        <w:tc>
          <w:tcPr>
            <w:tcW w:w="2437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/>
            </w:pPr>
            <w:r>
              <w:rPr/>
              <w:t>291 482,00</w:t>
            </w:r>
          </w:p>
        </w:tc>
        <w:tc>
          <w:tcPr>
            <w:tcW w:w="219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right="-51" w:hanging="0"/>
              <w:jc w:val="center"/>
              <w:rPr/>
            </w:pPr>
            <w:r>
              <w:rPr/>
              <w:t>285 348,35</w:t>
            </w:r>
          </w:p>
        </w:tc>
      </w:tr>
      <w:tr>
        <w:trPr>
          <w:trHeight w:val="285" w:hRule="atLeast"/>
        </w:trPr>
        <w:tc>
          <w:tcPr>
            <w:tcW w:w="4478" w:type="dxa"/>
            <w:tcBorders>
              <w:left w:val="single" w:sz="8" w:space="0" w:color="000000"/>
              <w:bottom w:val="single" w:sz="8" w:space="0" w:color="000000"/>
            </w:tcBorders>
            <w:shd w:color="auto" w:fill="DDD9C3" w:val="clear"/>
          </w:tcPr>
          <w:p>
            <w:pPr>
              <w:pStyle w:val="Normal"/>
              <w:widowControl w:val="false"/>
              <w:rPr/>
            </w:pPr>
            <w:r>
              <w:rPr>
                <w:rStyle w:val="Zdraznenie"/>
                <w:b/>
                <w:bCs/>
              </w:rPr>
              <w:t>Hospodárenie obce</w:t>
            </w:r>
          </w:p>
        </w:tc>
        <w:tc>
          <w:tcPr>
            <w:tcW w:w="2437" w:type="dxa"/>
            <w:tcBorders>
              <w:left w:val="single" w:sz="8" w:space="0" w:color="000000"/>
              <w:bottom w:val="single" w:sz="8" w:space="0" w:color="000000"/>
            </w:tcBorders>
            <w:shd w:color="auto" w:fill="DDD9C3" w:val="clea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i/>
                <w:i/>
                <w:iCs/>
              </w:rPr>
            </w:pPr>
            <w:r>
              <w:rPr>
                <w:b/>
                <w:bCs/>
                <w:i/>
                <w:iCs/>
              </w:rPr>
              <w:t>+ 46 265,00</w:t>
            </w:r>
          </w:p>
        </w:tc>
        <w:tc>
          <w:tcPr>
            <w:tcW w:w="219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DDD9C3" w:val="clear"/>
          </w:tcPr>
          <w:p>
            <w:pPr>
              <w:pStyle w:val="Normal"/>
              <w:widowControl w:val="false"/>
              <w:ind w:right="-51" w:hanging="0"/>
              <w:jc w:val="center"/>
              <w:rPr>
                <w:b/>
                <w:b/>
                <w:i/>
                <w:i/>
                <w:iCs/>
              </w:rPr>
            </w:pPr>
            <w:r>
              <w:rPr>
                <w:b/>
                <w:i/>
                <w:iCs/>
              </w:rPr>
              <w:t>+ 36 880,50</w:t>
            </w:r>
          </w:p>
        </w:tc>
      </w:tr>
      <w:tr>
        <w:trPr>
          <w:trHeight w:val="285" w:hRule="atLeast"/>
        </w:trPr>
        <w:tc>
          <w:tcPr>
            <w:tcW w:w="447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rPr/>
            </w:pPr>
            <w:r>
              <w:rPr>
                <w:sz w:val="22"/>
              </w:rPr>
              <w:t>Vylúčenie z prebytku /nevyčerpané dotácie, SF</w:t>
            </w:r>
          </w:p>
        </w:tc>
        <w:tc>
          <w:tcPr>
            <w:tcW w:w="243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i/>
                <w:i/>
                <w:iCs/>
              </w:rPr>
            </w:pPr>
            <w:r>
              <w:rPr>
                <w:b/>
                <w:bCs/>
                <w:i/>
                <w:iCs/>
              </w:rPr>
              <w:t>0,-</w:t>
            </w:r>
          </w:p>
        </w:tc>
        <w:tc>
          <w:tcPr>
            <w:tcW w:w="219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ind w:right="-51" w:hanging="0"/>
              <w:jc w:val="center"/>
              <w:rPr/>
            </w:pPr>
            <w:r>
              <w:rPr/>
              <w:t xml:space="preserve">-34 </w:t>
            </w:r>
            <w:r>
              <w:rPr>
                <w:rFonts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  <w:t>172,89</w:t>
            </w:r>
            <w:r>
              <w:rPr/>
              <w:t>,-</w:t>
            </w:r>
          </w:p>
        </w:tc>
      </w:tr>
      <w:tr>
        <w:trPr>
          <w:trHeight w:val="285" w:hRule="atLeast"/>
        </w:trPr>
        <w:tc>
          <w:tcPr>
            <w:tcW w:w="447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DDD9C3" w:val="clear"/>
          </w:tcPr>
          <w:p>
            <w:pPr>
              <w:pStyle w:val="Normal"/>
              <w:widowControl w:val="false"/>
              <w:rPr>
                <w:b/>
                <w:b/>
                <w:i/>
                <w:i/>
                <w:iCs/>
              </w:rPr>
            </w:pPr>
            <w:r>
              <w:rPr>
                <w:b/>
                <w:i/>
                <w:iCs/>
              </w:rPr>
              <w:t>Upravené hospodárenie obce</w:t>
            </w:r>
          </w:p>
        </w:tc>
        <w:tc>
          <w:tcPr>
            <w:tcW w:w="243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DDD9C3" w:val="clea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i/>
                <w:i/>
                <w:iCs/>
              </w:rPr>
            </w:pPr>
            <w:r>
              <w:rPr>
                <w:b/>
                <w:bCs/>
                <w:i/>
                <w:iCs/>
              </w:rPr>
              <w:t>+ 46 265,00</w:t>
            </w:r>
          </w:p>
        </w:tc>
        <w:tc>
          <w:tcPr>
            <w:tcW w:w="219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DDD9C3" w:val="clear"/>
          </w:tcPr>
          <w:p>
            <w:pPr>
              <w:pStyle w:val="Normal"/>
              <w:widowControl w:val="false"/>
              <w:ind w:right="-51" w:hanging="0"/>
              <w:jc w:val="center"/>
              <w:rPr>
                <w:rFonts w:ascii="Times New Roman" w:hAnsi="Times New Roman" w:eastAsia="Times New Roman" w:cs="Times New Roman"/>
                <w:b/>
                <w:b/>
                <w:i/>
                <w:i/>
                <w:iCs/>
                <w:color w:val="auto"/>
                <w:kern w:val="0"/>
                <w:sz w:val="24"/>
                <w:szCs w:val="24"/>
                <w:lang w:val="sk-SK" w:eastAsia="cs-CZ" w:bidi="ar-SA"/>
              </w:rPr>
            </w:pPr>
            <w:r>
              <w:rPr>
                <w:rFonts w:eastAsia="Times New Roman" w:cs="Times New Roman"/>
                <w:b/>
                <w:i/>
                <w:iCs/>
                <w:color w:val="auto"/>
                <w:kern w:val="0"/>
                <w:sz w:val="24"/>
                <w:szCs w:val="24"/>
                <w:lang w:val="sk-SK" w:eastAsia="cs-CZ" w:bidi="ar-SA"/>
              </w:rPr>
              <w:t>2 707,91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spacing w:lineRule="auto" w:line="360"/>
        <w:jc w:val="both"/>
        <w:rPr>
          <w:b/>
          <w:b/>
          <w:color w:val="FF0000"/>
        </w:rPr>
      </w:pPr>
      <w:r>
        <w:rPr>
          <w:b/>
        </w:rPr>
        <w:t>Výsledok rozpočtového hospodárenia</w:t>
      </w:r>
      <w:r>
        <w:rPr/>
        <w:t xml:space="preserve"> obce za rok 2025, t. j. rozdiel medzi celkovými príjmami a celkovými výdavkami predstavuje </w:t>
      </w:r>
      <w:r>
        <w:rPr>
          <w:b/>
        </w:rPr>
        <w:t>prebytok</w:t>
      </w:r>
      <w:r>
        <w:rPr/>
        <w:t xml:space="preserve"> rozpočtu vo výške  </w:t>
      </w:r>
      <w:r>
        <w:rPr>
          <w:rFonts w:eastAsia="Times New Roman" w:cs="Times New Roman"/>
          <w:b/>
          <w:color w:val="auto"/>
          <w:kern w:val="0"/>
          <w:sz w:val="24"/>
          <w:szCs w:val="24"/>
          <w:lang w:val="sk-SK" w:eastAsia="cs-CZ" w:bidi="ar-SA"/>
        </w:rPr>
        <w:t>36 880,50</w:t>
      </w:r>
      <w:r>
        <w:rPr>
          <w:b/>
        </w:rPr>
        <w:t xml:space="preserve"> €, </w:t>
      </w:r>
      <w:r>
        <w:rPr/>
        <w:t xml:space="preserve"> po odrátaní nevyčerpaných účelových finančných prostriedkov vo výške </w:t>
      </w:r>
      <w:r>
        <w:rPr>
          <w:rFonts w:eastAsia="Times New Roman" w:cs="Times New Roman"/>
          <w:b/>
          <w:bCs/>
          <w:color w:val="auto"/>
          <w:kern w:val="0"/>
          <w:sz w:val="24"/>
          <w:szCs w:val="24"/>
          <w:lang w:val="sk-SK" w:eastAsia="cs-CZ" w:bidi="ar-SA"/>
        </w:rPr>
        <w:t>34</w:t>
      </w:r>
      <w:r>
        <w:rPr>
          <w:b/>
          <w:bCs/>
        </w:rPr>
        <w:t xml:space="preserve"> </w:t>
      </w:r>
      <w:r>
        <w:rPr>
          <w:rFonts w:eastAsia="Times New Roman" w:cs="Times New Roman"/>
          <w:b/>
          <w:bCs/>
          <w:color w:val="auto"/>
          <w:kern w:val="0"/>
          <w:sz w:val="24"/>
          <w:szCs w:val="24"/>
          <w:lang w:val="sk-SK" w:eastAsia="cs-CZ" w:bidi="ar-SA"/>
        </w:rPr>
        <w:t>172,89</w:t>
      </w:r>
      <w:r>
        <w:rPr/>
        <w:t xml:space="preserve"> ktoré sú viazané na konkrétny účel, je upravený výsledok hospodárenia obce prebytok vo výške </w:t>
      </w:r>
      <w:r>
        <w:rPr>
          <w:rFonts w:eastAsia="Times New Roman" w:cs="Times New Roman"/>
          <w:b/>
          <w:color w:val="auto"/>
          <w:kern w:val="0"/>
          <w:sz w:val="24"/>
          <w:szCs w:val="24"/>
          <w:lang w:val="sk-SK" w:eastAsia="cs-CZ" w:bidi="ar-SA"/>
        </w:rPr>
        <w:t>2 707,91 €</w:t>
      </w:r>
      <w:r>
        <w:rPr/>
        <w:t>.</w:t>
      </w:r>
    </w:p>
    <w:p>
      <w:pPr>
        <w:pStyle w:val="Normal"/>
        <w:spacing w:lineRule="auto" w:line="360"/>
        <w:jc w:val="both"/>
        <w:rPr/>
      </w:pPr>
      <w:r>
        <w:rPr/>
        <w:t xml:space="preserve">Stav finančných prostriedkov na jednotlivých účtoch a zostatku v pokladni k 31.12.2025 </w:t>
      </w:r>
      <w:r>
        <w:rPr>
          <w:b/>
        </w:rPr>
        <w:t>bol v celkovej čiastke 48 597,19  € .</w:t>
      </w:r>
      <w:r>
        <w:rPr/>
        <w:t xml:space="preserve"> Z toho cudzie peniaze vo výške 608 €, ktoré sú uložené v pokladni pre Kostolík Magdolna.</w:t>
      </w:r>
    </w:p>
    <w:p>
      <w:pPr>
        <w:pStyle w:val="Normal"/>
        <w:spacing w:lineRule="auto" w:line="360"/>
        <w:jc w:val="both"/>
        <w:rPr>
          <w:b/>
          <w:b/>
        </w:rPr>
      </w:pPr>
      <w:r>
        <w:rPr>
          <w:b/>
        </w:rPr>
      </w:r>
    </w:p>
    <w:p>
      <w:pPr>
        <w:pStyle w:val="Normal"/>
        <w:spacing w:lineRule="auto" w:line="360"/>
        <w:jc w:val="both"/>
        <w:rPr>
          <w:b/>
          <w:b/>
        </w:rPr>
      </w:pPr>
      <w:r>
        <w:rPr>
          <w:b/>
        </w:rPr>
      </w:r>
    </w:p>
    <w:p>
      <w:pPr>
        <w:pStyle w:val="Normal"/>
        <w:spacing w:lineRule="auto" w:line="360"/>
        <w:jc w:val="both"/>
        <w:rPr>
          <w:b/>
          <w:b/>
        </w:rPr>
      </w:pPr>
      <w:r>
        <w:rPr>
          <w:b/>
        </w:rPr>
      </w:r>
    </w:p>
    <w:p>
      <w:pPr>
        <w:pStyle w:val="Normal"/>
        <w:spacing w:lineRule="auto" w:line="360"/>
        <w:jc w:val="both"/>
        <w:rPr>
          <w:b/>
          <w:b/>
        </w:rPr>
      </w:pPr>
      <w:r>
        <w:rPr>
          <w:b/>
        </w:rPr>
      </w:r>
    </w:p>
    <w:p>
      <w:pPr>
        <w:pStyle w:val="Normal"/>
        <w:spacing w:lineRule="auto" w:line="360"/>
        <w:jc w:val="both"/>
        <w:rPr>
          <w:b/>
          <w:b/>
        </w:rPr>
      </w:pPr>
      <w:r>
        <w:rPr>
          <w:b/>
        </w:rPr>
      </w:r>
    </w:p>
    <w:p>
      <w:pPr>
        <w:pStyle w:val="Normal"/>
        <w:spacing w:lineRule="auto" w:line="360"/>
        <w:jc w:val="both"/>
        <w:rPr>
          <w:b/>
          <w:b/>
        </w:rPr>
      </w:pPr>
      <w:r>
        <w:rPr>
          <w:b/>
        </w:rPr>
      </w:r>
    </w:p>
    <w:p>
      <w:pPr>
        <w:pStyle w:val="Normal"/>
        <w:spacing w:lineRule="auto" w:line="360"/>
        <w:jc w:val="both"/>
        <w:rPr>
          <w:b/>
          <w:b/>
        </w:rPr>
      </w:pPr>
      <w:r>
        <w:rPr>
          <w:b/>
        </w:rPr>
      </w:r>
    </w:p>
    <w:p>
      <w:pPr>
        <w:pStyle w:val="Normal"/>
        <w:spacing w:lineRule="auto" w:line="360"/>
        <w:jc w:val="both"/>
        <w:rPr>
          <w:b/>
          <w:b/>
        </w:rPr>
      </w:pPr>
      <w:r>
        <w:rPr>
          <w:b/>
        </w:rPr>
      </w:r>
    </w:p>
    <w:p>
      <w:pPr>
        <w:pStyle w:val="Normal"/>
        <w:spacing w:lineRule="auto" w:line="360"/>
        <w:jc w:val="both"/>
        <w:rPr>
          <w:b/>
          <w:b/>
        </w:rPr>
      </w:pPr>
      <w:r>
        <w:rPr>
          <w:b/>
          <w:highlight w:val="lightGray"/>
        </w:rPr>
        <w:t>5. Tvorba a použitie peňažných fondov a iných fondov</w:t>
      </w:r>
    </w:p>
    <w:p>
      <w:pPr>
        <w:pStyle w:val="Normal"/>
        <w:spacing w:lineRule="auto" w:line="360"/>
        <w:jc w:val="both"/>
        <w:rPr>
          <w:b/>
          <w:b/>
          <w:bCs/>
        </w:rPr>
      </w:pPr>
      <w:r>
        <w:rPr>
          <w:b/>
          <w:bCs/>
        </w:rPr>
        <w:t>Rezervný fond</w:t>
      </w:r>
    </w:p>
    <w:p>
      <w:pPr>
        <w:pStyle w:val="Normal"/>
        <w:spacing w:lineRule="auto" w:line="360"/>
        <w:jc w:val="both"/>
        <w:rPr>
          <w:b/>
          <w:b/>
        </w:rPr>
      </w:pPr>
      <w:r>
        <w:rPr/>
        <w:t>Obec vytvára rezervný fond v zmysle ustanovenia § 15 zákona č.583/2004 Z.z. v z.n.p. Rezervný fond sa vedie v účtovníctve na samostatnom analytickom účte.</w:t>
      </w:r>
    </w:p>
    <w:p>
      <w:pPr>
        <w:pStyle w:val="Normal"/>
        <w:spacing w:lineRule="auto" w:line="360"/>
        <w:jc w:val="both"/>
        <w:rPr>
          <w:b/>
          <w:b/>
        </w:rPr>
      </w:pPr>
      <w:r>
        <w:rPr/>
        <w:t>O použití rezervného fondu rozhoduje obecné zastupiteľstvo, ktoré poverilo starostku obce využiť prostriedky na nevyhnutné výdavky spojené s investičnými nákladmi a v čase mimoriadnej situácie.</w:t>
      </w:r>
    </w:p>
    <w:p>
      <w:pPr>
        <w:pStyle w:val="Normal"/>
        <w:spacing w:lineRule="auto" w:line="360"/>
        <w:jc w:val="both"/>
        <w:rPr/>
      </w:pPr>
      <w:r>
        <w:rPr/>
        <w:t xml:space="preserve">Pre tvorbu rezervného fondu vyčleňujeme z prebytku hospodárenia </w:t>
      </w:r>
      <w:r>
        <w:rPr>
          <w:rFonts w:eastAsia="Times New Roman" w:cs="Times New Roman"/>
          <w:color w:val="auto"/>
          <w:kern w:val="0"/>
          <w:sz w:val="24"/>
          <w:szCs w:val="24"/>
          <w:lang w:val="sk-SK" w:eastAsia="cs-CZ" w:bidi="ar-SA"/>
        </w:rPr>
        <w:t>36 880,50</w:t>
      </w:r>
      <w:r>
        <w:rPr/>
        <w:t xml:space="preserve">€ - </w:t>
      </w:r>
      <w:r>
        <w:rPr>
          <w:rFonts w:eastAsia="Times New Roman" w:cs="Times New Roman"/>
          <w:color w:val="auto"/>
          <w:kern w:val="0"/>
          <w:sz w:val="24"/>
          <w:szCs w:val="24"/>
          <w:lang w:val="sk-SK" w:eastAsia="cs-CZ" w:bidi="ar-SA"/>
        </w:rPr>
        <w:t>34 172,89</w:t>
      </w:r>
      <w:r>
        <w:rPr/>
        <w:t xml:space="preserve">€ nevyčerpané dotácie = </w:t>
      </w:r>
      <w:r>
        <w:rPr>
          <w:rFonts w:eastAsia="Times New Roman" w:cs="Times New Roman"/>
          <w:color w:val="auto"/>
          <w:kern w:val="0"/>
          <w:sz w:val="24"/>
          <w:szCs w:val="24"/>
          <w:lang w:val="sk-SK" w:eastAsia="cs-CZ" w:bidi="ar-SA"/>
        </w:rPr>
        <w:t>2</w:t>
      </w:r>
      <w:r>
        <w:rPr/>
        <w:t xml:space="preserve"> </w:t>
      </w:r>
      <w:r>
        <w:rPr>
          <w:rFonts w:eastAsia="Times New Roman" w:cs="Times New Roman"/>
          <w:color w:val="auto"/>
          <w:kern w:val="0"/>
          <w:sz w:val="24"/>
          <w:szCs w:val="24"/>
          <w:lang w:val="sk-SK" w:eastAsia="cs-CZ" w:bidi="ar-SA"/>
        </w:rPr>
        <w:t>707,91</w:t>
      </w:r>
      <w:r>
        <w:rPr/>
        <w:t xml:space="preserve"> €</w:t>
      </w:r>
    </w:p>
    <w:p>
      <w:pPr>
        <w:pStyle w:val="Normal"/>
        <w:spacing w:lineRule="auto" w:line="360"/>
        <w:jc w:val="both"/>
        <w:rPr/>
      </w:pPr>
      <w:r>
        <w:rPr/>
        <w:t xml:space="preserve">Tvorba rezervného fondu vo výške 100% zo sumy </w:t>
      </w:r>
      <w:r>
        <w:rPr>
          <w:rFonts w:eastAsia="Times New Roman" w:cs="Times New Roman"/>
          <w:color w:val="auto"/>
          <w:kern w:val="0"/>
          <w:sz w:val="24"/>
          <w:szCs w:val="24"/>
          <w:lang w:val="sk-SK" w:eastAsia="cs-CZ" w:bidi="ar-SA"/>
        </w:rPr>
        <w:t xml:space="preserve">2 707,91 </w:t>
      </w:r>
      <w:r>
        <w:rPr/>
        <w:t xml:space="preserve">€  = </w:t>
      </w:r>
      <w:r>
        <w:rPr>
          <w:rFonts w:eastAsia="Times New Roman" w:cs="Times New Roman"/>
          <w:color w:val="auto"/>
          <w:kern w:val="0"/>
          <w:sz w:val="24"/>
          <w:szCs w:val="24"/>
          <w:lang w:val="sk-SK" w:eastAsia="cs-CZ" w:bidi="ar-SA"/>
        </w:rPr>
        <w:t>2 707,91</w:t>
      </w:r>
      <w:r>
        <w:rPr/>
        <w:t xml:space="preserve"> €</w:t>
      </w:r>
    </w:p>
    <w:p>
      <w:pPr>
        <w:pStyle w:val="Normal"/>
        <w:spacing w:lineRule="auto" w:line="360"/>
        <w:jc w:val="both"/>
        <w:rPr/>
      </w:pPr>
      <w:r>
        <w:rPr/>
        <w:t xml:space="preserve">Zostatok sociálneho fondu tvoreného z objemu vyplatených miezd k 31.12.2025 bol </w:t>
      </w:r>
      <w:r>
        <w:rPr>
          <w:rFonts w:eastAsia="Times New Roman" w:cs="Times New Roman"/>
          <w:color w:val="auto"/>
          <w:kern w:val="0"/>
          <w:sz w:val="24"/>
          <w:szCs w:val="24"/>
          <w:lang w:val="sk-SK" w:eastAsia="cs-CZ" w:bidi="ar-SA"/>
        </w:rPr>
        <w:t>4</w:t>
      </w:r>
      <w:r>
        <w:rPr/>
        <w:t> </w:t>
      </w:r>
      <w:r>
        <w:rPr>
          <w:rFonts w:eastAsia="Times New Roman" w:cs="Times New Roman"/>
          <w:color w:val="auto"/>
          <w:kern w:val="0"/>
          <w:sz w:val="24"/>
          <w:szCs w:val="24"/>
          <w:lang w:val="sk-SK" w:eastAsia="cs-CZ" w:bidi="ar-SA"/>
        </w:rPr>
        <w:t>349</w:t>
      </w:r>
      <w:r>
        <w:rPr/>
        <w:t>,73 €.</w:t>
      </w:r>
    </w:p>
    <w:tbl>
      <w:tblPr>
        <w:tblW w:w="9891" w:type="dxa"/>
        <w:jc w:val="left"/>
        <w:tblInd w:w="54" w:type="dxa"/>
        <w:tblLayout w:type="fixed"/>
        <w:tblCellMar>
          <w:top w:w="0" w:type="dxa"/>
          <w:left w:w="22" w:type="dxa"/>
          <w:bottom w:w="0" w:type="dxa"/>
          <w:right w:w="10" w:type="dxa"/>
        </w:tblCellMar>
        <w:tblLook w:firstRow="1" w:noVBand="1" w:lastRow="0" w:firstColumn="1" w:lastColumn="0" w:noHBand="0" w:val="04a0"/>
      </w:tblPr>
      <w:tblGrid>
        <w:gridCol w:w="6910"/>
        <w:gridCol w:w="1559"/>
        <w:gridCol w:w="1422"/>
      </w:tblGrid>
      <w:tr>
        <w:trPr>
          <w:trHeight w:val="345" w:hRule="atLeast"/>
        </w:trPr>
        <w:tc>
          <w:tcPr>
            <w:tcW w:w="6910" w:type="dxa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color="auto" w:fill="D9D9D9" w:val="clear"/>
          </w:tcPr>
          <w:p>
            <w:pPr>
              <w:pStyle w:val="Obsahtabuky"/>
              <w:widowControl w:val="false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1559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color="auto" w:fill="D9D9D9" w:val="clear"/>
          </w:tcPr>
          <w:p>
            <w:pPr>
              <w:pStyle w:val="Obsahtabuky"/>
              <w:widowControl w:val="false"/>
              <w:rPr>
                <w:b/>
                <w:b/>
                <w:bCs/>
              </w:rPr>
            </w:pPr>
            <w:r>
              <w:rPr>
                <w:b/>
                <w:bCs/>
              </w:rPr>
              <w:t>Rezervný fond</w:t>
            </w:r>
          </w:p>
        </w:tc>
        <w:tc>
          <w:tcPr>
            <w:tcW w:w="1422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shd w:color="auto" w:fill="D9D9D9" w:val="clear"/>
            <w:tcMar>
              <w:left w:w="0" w:type="dxa"/>
              <w:right w:w="0" w:type="dxa"/>
            </w:tcMar>
          </w:tcPr>
          <w:p>
            <w:pPr>
              <w:pStyle w:val="Obsahtabuky"/>
              <w:widowControl w:val="fals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Sociálny fond</w:t>
            </w:r>
          </w:p>
        </w:tc>
      </w:tr>
      <w:tr>
        <w:trPr/>
        <w:tc>
          <w:tcPr>
            <w:tcW w:w="69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>
            <w:pPr>
              <w:pStyle w:val="Obsahtabuky"/>
              <w:widowControl w:val="false"/>
              <w:rPr>
                <w:b/>
                <w:b/>
              </w:rPr>
            </w:pPr>
            <w:r>
              <w:rPr>
                <w:b/>
              </w:rPr>
              <w:t>ZS k 1.1.2025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Obsahtabuky"/>
              <w:widowControl w:val="false"/>
              <w:jc w:val="right"/>
              <w:rPr>
                <w:b/>
                <w:b/>
              </w:rPr>
            </w:pPr>
            <w:r>
              <w:rPr>
                <w:rFonts w:eastAsia="Times New Roman" w:cs="Times New Roman"/>
                <w:b/>
                <w:color w:val="auto"/>
                <w:kern w:val="0"/>
                <w:sz w:val="24"/>
                <w:szCs w:val="24"/>
                <w:lang w:val="sk-SK" w:eastAsia="cs-CZ" w:bidi="ar-SA"/>
              </w:rPr>
              <w:t>7</w:t>
            </w:r>
            <w:r>
              <w:rPr>
                <w:b/>
              </w:rPr>
              <w:t xml:space="preserve"> </w:t>
            </w:r>
            <w:r>
              <w:rPr>
                <w:rFonts w:eastAsia="Times New Roman" w:cs="Times New Roman"/>
                <w:b/>
                <w:color w:val="auto"/>
                <w:kern w:val="0"/>
                <w:sz w:val="24"/>
                <w:szCs w:val="24"/>
                <w:lang w:val="sk-SK" w:eastAsia="cs-CZ" w:bidi="ar-SA"/>
              </w:rPr>
              <w:t>330</w:t>
            </w:r>
            <w:r>
              <w:rPr>
                <w:b/>
              </w:rPr>
              <w:t>,90</w:t>
            </w:r>
          </w:p>
        </w:tc>
        <w:tc>
          <w:tcPr>
            <w:tcW w:w="142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>
            <w:pPr>
              <w:pStyle w:val="Obsahtabuky"/>
              <w:widowControl w:val="false"/>
              <w:jc w:val="right"/>
              <w:rPr>
                <w:b/>
                <w:b/>
              </w:rPr>
            </w:pPr>
            <w:r>
              <w:rPr>
                <w:b/>
              </w:rPr>
              <w:t xml:space="preserve">3 </w:t>
            </w:r>
            <w:r>
              <w:rPr>
                <w:rFonts w:eastAsia="Times New Roman" w:cs="Times New Roman"/>
                <w:b/>
                <w:color w:val="auto"/>
                <w:kern w:val="0"/>
                <w:sz w:val="24"/>
                <w:szCs w:val="24"/>
                <w:lang w:val="sk-SK" w:eastAsia="cs-CZ" w:bidi="ar-SA"/>
              </w:rPr>
              <w:t>777,79</w:t>
            </w:r>
          </w:p>
        </w:tc>
      </w:tr>
      <w:tr>
        <w:trPr/>
        <w:tc>
          <w:tcPr>
            <w:tcW w:w="69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D9D9D9" w:themeFill="background1" w:themeFillShade="d9" w:val="clear"/>
            <w:tcMar>
              <w:top w:w="28" w:type="dxa"/>
              <w:left w:w="28" w:type="dxa"/>
              <w:bottom w:w="28" w:type="dxa"/>
              <w:right w:w="28" w:type="dxa"/>
            </w:tcMar>
          </w:tcPr>
          <w:p>
            <w:pPr>
              <w:pStyle w:val="Obsahtabuky"/>
              <w:widowControl w:val="false"/>
              <w:rPr/>
            </w:pPr>
            <w:r>
              <w:rPr/>
              <w:t>Prírastky - z prebytku rozpočtu za uplynulý rozpočtový rok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D9D9D9" w:themeFill="background1" w:themeFillShade="d9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</w:pPr>
            <w:r>
              <w:rPr>
                <w:rFonts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  <w:t>0,00</w:t>
            </w:r>
          </w:p>
        </w:tc>
        <w:tc>
          <w:tcPr>
            <w:tcW w:w="142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D9D9D9" w:themeFill="background1" w:themeFillShade="d9" w:val="clear"/>
            <w:tcMar>
              <w:top w:w="28" w:type="dxa"/>
              <w:left w:w="28" w:type="dxa"/>
              <w:bottom w:w="28" w:type="dxa"/>
              <w:right w:w="28" w:type="dxa"/>
            </w:tcMar>
          </w:tcPr>
          <w:p>
            <w:pPr>
              <w:pStyle w:val="Obsahtabuky"/>
              <w:widowControl w:val="false"/>
              <w:jc w:val="right"/>
              <w:rPr/>
            </w:pPr>
            <w:r>
              <w:rPr/>
              <w:t>1 2</w:t>
            </w:r>
            <w:r>
              <w:rPr>
                <w:rFonts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  <w:t>36,44</w:t>
            </w:r>
          </w:p>
        </w:tc>
      </w:tr>
      <w:tr>
        <w:trPr/>
        <w:tc>
          <w:tcPr>
            <w:tcW w:w="69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>
            <w:pPr>
              <w:pStyle w:val="Obsahtabuky"/>
              <w:widowControl w:val="false"/>
              <w:rPr/>
            </w:pPr>
            <w:r>
              <w:rPr/>
              <w:t>- z rozdielu medzi výnosmi a nákladmi</w:t>
            </w:r>
          </w:p>
          <w:p>
            <w:pPr>
              <w:pStyle w:val="Obsahtabuky"/>
              <w:widowControl w:val="false"/>
              <w:rPr/>
            </w:pPr>
            <w:r>
              <w:rPr/>
              <w:t>- z podnikateľskej činnosti po zdanení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Obsahtabuky"/>
              <w:widowControl w:val="false"/>
              <w:jc w:val="right"/>
              <w:rPr/>
            </w:pPr>
            <w:r>
              <w:rPr/>
            </w:r>
          </w:p>
        </w:tc>
        <w:tc>
          <w:tcPr>
            <w:tcW w:w="142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>
            <w:pPr>
              <w:pStyle w:val="Obsahtabuky"/>
              <w:widowControl w:val="false"/>
              <w:jc w:val="right"/>
              <w:rPr/>
            </w:pPr>
            <w:r>
              <w:rPr/>
            </w:r>
          </w:p>
        </w:tc>
      </w:tr>
      <w:tr>
        <w:trPr/>
        <w:tc>
          <w:tcPr>
            <w:tcW w:w="69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>
            <w:pPr>
              <w:pStyle w:val="Obsahtabuky"/>
              <w:widowControl w:val="false"/>
              <w:rPr/>
            </w:pPr>
            <w:r>
              <w:rPr/>
              <w:t>- z finančných operácií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Obsahtabuky"/>
              <w:widowControl w:val="false"/>
              <w:jc w:val="right"/>
              <w:rPr/>
            </w:pPr>
            <w:r>
              <w:rPr/>
            </w:r>
          </w:p>
        </w:tc>
        <w:tc>
          <w:tcPr>
            <w:tcW w:w="142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>
            <w:pPr>
              <w:pStyle w:val="Obsahtabuky"/>
              <w:widowControl w:val="false"/>
              <w:jc w:val="right"/>
              <w:rPr/>
            </w:pPr>
            <w:r>
              <w:rPr/>
            </w:r>
          </w:p>
        </w:tc>
      </w:tr>
      <w:tr>
        <w:trPr/>
        <w:tc>
          <w:tcPr>
            <w:tcW w:w="69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D9D9D9" w:themeFill="background1" w:themeFillShade="d9" w:val="clear"/>
            <w:tcMar>
              <w:top w:w="28" w:type="dxa"/>
              <w:left w:w="28" w:type="dxa"/>
              <w:bottom w:w="28" w:type="dxa"/>
              <w:right w:w="28" w:type="dxa"/>
            </w:tcMar>
          </w:tcPr>
          <w:p>
            <w:pPr>
              <w:pStyle w:val="Obsahtabuky"/>
              <w:widowControl w:val="false"/>
              <w:rPr/>
            </w:pPr>
            <w:r>
              <w:rPr/>
              <w:t>Úbytky - použitie rezervného fondu na krytie investícií a ostatných fondov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D9D9D9" w:themeFill="background1" w:themeFillShade="d9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</w:pPr>
            <w:r>
              <w:rPr>
                <w:rFonts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  <w:t>0,00</w:t>
            </w:r>
          </w:p>
        </w:tc>
        <w:tc>
          <w:tcPr>
            <w:tcW w:w="142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D9D9D9" w:themeFill="background1" w:themeFillShade="d9" w:val="clear"/>
            <w:tcMar>
              <w:top w:w="28" w:type="dxa"/>
              <w:left w:w="28" w:type="dxa"/>
              <w:bottom w:w="28" w:type="dxa"/>
              <w:right w:w="28" w:type="dxa"/>
            </w:tcMar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</w:pPr>
            <w:r>
              <w:rPr>
                <w:rFonts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</w:r>
          </w:p>
        </w:tc>
      </w:tr>
      <w:tr>
        <w:trPr/>
        <w:tc>
          <w:tcPr>
            <w:tcW w:w="69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>
            <w:pPr>
              <w:pStyle w:val="Obsahtabuky"/>
              <w:widowControl w:val="false"/>
              <w:rPr/>
            </w:pPr>
            <w:r>
              <w:rPr/>
              <w:t>- krytie schodku rozpočtu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Obsahtabuky"/>
              <w:widowControl w:val="false"/>
              <w:jc w:val="right"/>
              <w:rPr/>
            </w:pPr>
            <w:r>
              <w:rPr/>
            </w:r>
          </w:p>
        </w:tc>
        <w:tc>
          <w:tcPr>
            <w:tcW w:w="142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>
            <w:pPr>
              <w:pStyle w:val="Obsahtabuky"/>
              <w:widowControl w:val="false"/>
              <w:jc w:val="right"/>
              <w:rPr/>
            </w:pPr>
            <w:r>
              <w:rPr/>
            </w:r>
          </w:p>
        </w:tc>
      </w:tr>
      <w:tr>
        <w:trPr/>
        <w:tc>
          <w:tcPr>
            <w:tcW w:w="69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>
            <w:pPr>
              <w:pStyle w:val="Obsahtabuky"/>
              <w:widowControl w:val="false"/>
              <w:rPr/>
            </w:pPr>
            <w:r>
              <w:rPr/>
              <w:t>- ostatné úbytky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Obsahtabuky"/>
              <w:widowControl w:val="false"/>
              <w:jc w:val="right"/>
              <w:rPr/>
            </w:pPr>
            <w:r>
              <w:rPr/>
            </w:r>
          </w:p>
        </w:tc>
        <w:tc>
          <w:tcPr>
            <w:tcW w:w="142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</w:pPr>
            <w:r>
              <w:rPr>
                <w:rFonts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  <w:t>664,50</w:t>
            </w:r>
          </w:p>
        </w:tc>
      </w:tr>
      <w:tr>
        <w:trPr/>
        <w:tc>
          <w:tcPr>
            <w:tcW w:w="69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>
            <w:pPr>
              <w:pStyle w:val="Obsahtabuky"/>
              <w:widowControl w:val="false"/>
              <w:rPr>
                <w:b/>
                <w:b/>
              </w:rPr>
            </w:pPr>
            <w:r>
              <w:rPr>
                <w:b/>
              </w:rPr>
              <w:t>KZ k 31.12.202</w:t>
            </w:r>
            <w:r>
              <w:rPr>
                <w:b/>
              </w:rPr>
              <w:t>5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Obsahtabuky"/>
              <w:widowControl w:val="false"/>
              <w:jc w:val="right"/>
              <w:rPr>
                <w:b/>
                <w:b/>
              </w:rPr>
            </w:pPr>
            <w:r>
              <w:rPr>
                <w:b/>
              </w:rPr>
              <w:t>7 330,90</w:t>
            </w:r>
          </w:p>
        </w:tc>
        <w:tc>
          <w:tcPr>
            <w:tcW w:w="142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>
            <w:pPr>
              <w:pStyle w:val="Obsahtabuky"/>
              <w:widowControl w:val="false"/>
              <w:jc w:val="right"/>
              <w:rPr>
                <w:b/>
                <w:b/>
              </w:rPr>
            </w:pPr>
            <w:r>
              <w:rPr>
                <w:rFonts w:eastAsia="Times New Roman" w:cs="Times New Roman"/>
                <w:b/>
                <w:color w:val="auto"/>
                <w:kern w:val="0"/>
                <w:sz w:val="24"/>
                <w:szCs w:val="24"/>
                <w:lang w:val="sk-SK" w:eastAsia="cs-CZ" w:bidi="ar-SA"/>
              </w:rPr>
              <w:t>4</w:t>
            </w:r>
            <w:r>
              <w:rPr>
                <w:b/>
              </w:rPr>
              <w:t xml:space="preserve"> </w:t>
            </w:r>
            <w:r>
              <w:rPr>
                <w:rFonts w:eastAsia="Times New Roman" w:cs="Times New Roman"/>
                <w:b/>
                <w:color w:val="auto"/>
                <w:kern w:val="0"/>
                <w:sz w:val="24"/>
                <w:szCs w:val="24"/>
                <w:lang w:val="sk-SK" w:eastAsia="cs-CZ" w:bidi="ar-SA"/>
              </w:rPr>
              <w:t>349,73</w:t>
            </w:r>
          </w:p>
        </w:tc>
      </w:tr>
    </w:tbl>
    <w:p>
      <w:pPr>
        <w:pStyle w:val="Normal"/>
        <w:spacing w:lineRule="auto" w:line="360"/>
        <w:jc w:val="both"/>
        <w:rPr/>
      </w:pPr>
      <w:r>
        <w:rPr/>
      </w:r>
    </w:p>
    <w:p>
      <w:pPr>
        <w:pStyle w:val="Normal"/>
        <w:spacing w:lineRule="auto" w:line="360"/>
        <w:jc w:val="both"/>
        <w:rPr/>
      </w:pPr>
      <w:r>
        <w:rPr/>
      </w:r>
    </w:p>
    <w:p>
      <w:pPr>
        <w:pStyle w:val="Normal"/>
        <w:spacing w:lineRule="auto" w:line="360"/>
        <w:jc w:val="both"/>
        <w:rPr/>
      </w:pPr>
      <w:r>
        <w:rPr/>
      </w:r>
    </w:p>
    <w:p>
      <w:pPr>
        <w:pStyle w:val="Normal"/>
        <w:spacing w:lineRule="auto" w:line="360"/>
        <w:jc w:val="both"/>
        <w:rPr/>
      </w:pPr>
      <w:r>
        <w:rPr/>
      </w:r>
    </w:p>
    <w:p>
      <w:pPr>
        <w:pStyle w:val="Normal"/>
        <w:spacing w:lineRule="auto" w:line="360"/>
        <w:jc w:val="both"/>
        <w:rPr/>
      </w:pPr>
      <w:r>
        <w:rPr/>
      </w:r>
    </w:p>
    <w:p>
      <w:pPr>
        <w:pStyle w:val="Normal"/>
        <w:spacing w:lineRule="auto" w:line="360"/>
        <w:jc w:val="both"/>
        <w:rPr/>
      </w:pPr>
      <w:r>
        <w:rPr/>
      </w:r>
    </w:p>
    <w:p>
      <w:pPr>
        <w:pStyle w:val="Normal"/>
        <w:spacing w:lineRule="auto" w:line="360"/>
        <w:jc w:val="both"/>
        <w:rPr/>
      </w:pPr>
      <w:r>
        <w:rPr/>
      </w:r>
    </w:p>
    <w:p>
      <w:pPr>
        <w:pStyle w:val="Normal"/>
        <w:spacing w:lineRule="auto" w:line="360"/>
        <w:jc w:val="both"/>
        <w:rPr/>
      </w:pPr>
      <w:r>
        <w:rPr/>
      </w:r>
    </w:p>
    <w:p>
      <w:pPr>
        <w:pStyle w:val="Normal"/>
        <w:spacing w:lineRule="auto" w:line="360"/>
        <w:jc w:val="both"/>
        <w:rPr/>
      </w:pPr>
      <w:r>
        <w:rPr/>
      </w:r>
    </w:p>
    <w:p>
      <w:pPr>
        <w:pStyle w:val="Normal"/>
        <w:spacing w:lineRule="auto" w:line="360"/>
        <w:jc w:val="both"/>
        <w:rPr/>
      </w:pPr>
      <w:r>
        <w:rPr>
          <w:b/>
          <w:highlight w:val="lightGray"/>
        </w:rPr>
        <w:t>6. Bilancia aktív a pasív k 31.12.2025</w:t>
      </w:r>
    </w:p>
    <w:p>
      <w:pPr>
        <w:pStyle w:val="Normal"/>
        <w:spacing w:lineRule="auto" w:line="360"/>
        <w:jc w:val="both"/>
        <w:rPr>
          <w:b/>
          <w:b/>
        </w:rPr>
      </w:pPr>
      <w:r>
        <w:rPr>
          <w:b/>
        </w:rPr>
        <w:t>A K T Í V A </w:t>
      </w:r>
    </w:p>
    <w:tbl>
      <w:tblPr>
        <w:tblW w:w="9426" w:type="dxa"/>
        <w:jc w:val="left"/>
        <w:tblInd w:w="151" w:type="dxa"/>
        <w:tblLayout w:type="fixed"/>
        <w:tblCellMar>
          <w:top w:w="0" w:type="dxa"/>
          <w:left w:w="70" w:type="dxa"/>
          <w:bottom w:w="0" w:type="dxa"/>
          <w:right w:w="70" w:type="dxa"/>
        </w:tblCellMar>
        <w:tblLook w:firstRow="0" w:noVBand="0" w:lastRow="0" w:firstColumn="0" w:lastColumn="0" w:noHBand="0" w:val="0000"/>
      </w:tblPr>
      <w:tblGrid>
        <w:gridCol w:w="3756"/>
        <w:gridCol w:w="2861"/>
        <w:gridCol w:w="2809"/>
      </w:tblGrid>
      <w:tr>
        <w:trPr/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widowControl w:val="false"/>
              <w:jc w:val="center"/>
              <w:rPr>
                <w:b/>
                <w:b/>
              </w:rPr>
            </w:pPr>
            <w:r>
              <w:rPr>
                <w:b/>
              </w:rPr>
              <w:t>Názov</w:t>
            </w:r>
          </w:p>
        </w:tc>
        <w:tc>
          <w:tcPr>
            <w:tcW w:w="2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widowControl w:val="false"/>
              <w:jc w:val="center"/>
              <w:rPr>
                <w:b/>
                <w:b/>
              </w:rPr>
            </w:pPr>
            <w:r>
              <w:rPr>
                <w:b/>
              </w:rPr>
              <w:t>ZS  k  1.1.2025 v €1 241 624,69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widowControl w:val="false"/>
              <w:jc w:val="center"/>
              <w:rPr>
                <w:b/>
                <w:b/>
              </w:rPr>
            </w:pPr>
            <w:r>
              <w:rPr>
                <w:b/>
              </w:rPr>
              <w:t>KZ  k  31.12.2025 v €</w:t>
            </w:r>
          </w:p>
        </w:tc>
      </w:tr>
      <w:tr>
        <w:trPr/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4BC96" w:val="clear"/>
          </w:tcPr>
          <w:p>
            <w:pPr>
              <w:pStyle w:val="Normal"/>
              <w:widowControl w:val="false"/>
              <w:rPr>
                <w:b/>
                <w:b/>
              </w:rPr>
            </w:pPr>
            <w:r>
              <w:rPr>
                <w:b/>
              </w:rPr>
              <w:t>Majetok spolu</w:t>
            </w:r>
          </w:p>
        </w:tc>
        <w:tc>
          <w:tcPr>
            <w:tcW w:w="2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4BC96" w:val="clear"/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1 319 273,82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4BC96" w:val="clear"/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1 241 624,69</w:t>
            </w:r>
          </w:p>
        </w:tc>
      </w:tr>
      <w:tr>
        <w:trPr/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rPr>
                <w:b/>
                <w:b/>
              </w:rPr>
            </w:pPr>
            <w:r>
              <w:rPr>
                <w:b/>
              </w:rPr>
              <w:t>Neobežný majetok spolu</w:t>
            </w:r>
          </w:p>
        </w:tc>
        <w:tc>
          <w:tcPr>
            <w:tcW w:w="2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1 293 333,43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1 186 396,96</w:t>
            </w:r>
          </w:p>
        </w:tc>
      </w:tr>
      <w:tr>
        <w:trPr/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/>
            </w:pPr>
            <w:r>
              <w:rPr/>
              <w:t>z toho :</w:t>
            </w:r>
          </w:p>
        </w:tc>
        <w:tc>
          <w:tcPr>
            <w:tcW w:w="2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</w:r>
          </w:p>
        </w:tc>
      </w:tr>
      <w:tr>
        <w:trPr/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/>
            </w:pPr>
            <w:r>
              <w:rPr/>
              <w:t>Dlhodobý nehmotný majetok</w:t>
            </w:r>
          </w:p>
        </w:tc>
        <w:tc>
          <w:tcPr>
            <w:tcW w:w="2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17 383,27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15 174,77</w:t>
            </w:r>
          </w:p>
        </w:tc>
      </w:tr>
      <w:tr>
        <w:trPr/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/>
            </w:pPr>
            <w:r>
              <w:rPr/>
              <w:t>Dlhodobý hmotný majetok</w:t>
            </w:r>
          </w:p>
        </w:tc>
        <w:tc>
          <w:tcPr>
            <w:tcW w:w="2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1 225 144,72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1 120 416,75</w:t>
            </w:r>
          </w:p>
        </w:tc>
      </w:tr>
      <w:tr>
        <w:trPr/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/>
            </w:pPr>
            <w:r>
              <w:rPr/>
              <w:t>Dlhodobý finančný majetok</w:t>
            </w:r>
          </w:p>
        </w:tc>
        <w:tc>
          <w:tcPr>
            <w:tcW w:w="2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50 805,44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50 805,44</w:t>
            </w:r>
          </w:p>
        </w:tc>
      </w:tr>
      <w:tr>
        <w:trPr/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jc w:val="both"/>
              <w:rPr>
                <w:b/>
                <w:b/>
              </w:rPr>
            </w:pPr>
            <w:r>
              <w:rPr>
                <w:b/>
              </w:rPr>
              <w:t>Obežný majetok spolu</w:t>
            </w:r>
          </w:p>
        </w:tc>
        <w:tc>
          <w:tcPr>
            <w:tcW w:w="2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25 319,82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52 844,70</w:t>
            </w:r>
          </w:p>
        </w:tc>
      </w:tr>
      <w:tr>
        <w:trPr/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/>
            </w:pPr>
            <w:r>
              <w:rPr/>
              <w:t>z toho :</w:t>
            </w:r>
          </w:p>
        </w:tc>
        <w:tc>
          <w:tcPr>
            <w:tcW w:w="2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</w:r>
          </w:p>
        </w:tc>
      </w:tr>
      <w:tr>
        <w:trPr/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/>
            </w:pPr>
            <w:r>
              <w:rPr/>
              <w:t>Zásoby</w:t>
            </w:r>
          </w:p>
        </w:tc>
        <w:tc>
          <w:tcPr>
            <w:tcW w:w="2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0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0</w:t>
            </w:r>
          </w:p>
        </w:tc>
      </w:tr>
      <w:tr>
        <w:trPr/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/>
            </w:pPr>
            <w:r>
              <w:rPr/>
              <w:t>Zúčtovanie medzi subjektami VS</w:t>
            </w:r>
          </w:p>
        </w:tc>
        <w:tc>
          <w:tcPr>
            <w:tcW w:w="2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0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0</w:t>
            </w:r>
          </w:p>
        </w:tc>
      </w:tr>
      <w:tr>
        <w:trPr/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/>
            </w:pPr>
            <w:r>
              <w:rPr/>
              <w:t>Dlhodobé pohľadávky</w:t>
            </w:r>
          </w:p>
        </w:tc>
        <w:tc>
          <w:tcPr>
            <w:tcW w:w="2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0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0</w:t>
            </w:r>
          </w:p>
        </w:tc>
      </w:tr>
      <w:tr>
        <w:trPr/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/>
            </w:pPr>
            <w:r>
              <w:rPr/>
              <w:t>Krátkodobé pohľadávky</w:t>
            </w:r>
          </w:p>
        </w:tc>
        <w:tc>
          <w:tcPr>
            <w:tcW w:w="2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7 645,72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4 247,51</w:t>
            </w:r>
          </w:p>
        </w:tc>
      </w:tr>
      <w:tr>
        <w:trPr/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/>
            </w:pPr>
            <w:r>
              <w:rPr/>
              <w:t>Finančné účty</w:t>
            </w:r>
          </w:p>
        </w:tc>
        <w:tc>
          <w:tcPr>
            <w:tcW w:w="2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17 674,10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</w:r>
          </w:p>
        </w:tc>
      </w:tr>
      <w:tr>
        <w:trPr/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/>
            </w:pPr>
            <w:r>
              <w:rPr/>
              <w:t>Poskytnuté návratné fin. výpomoci dlh.</w:t>
            </w:r>
          </w:p>
        </w:tc>
        <w:tc>
          <w:tcPr>
            <w:tcW w:w="2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0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48 597,19</w:t>
            </w:r>
          </w:p>
        </w:tc>
      </w:tr>
      <w:tr>
        <w:trPr/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/>
            </w:pPr>
            <w:r>
              <w:rPr/>
              <w:t>Poskytnuté návratné fin. výpomoci krát.</w:t>
            </w:r>
          </w:p>
        </w:tc>
        <w:tc>
          <w:tcPr>
            <w:tcW w:w="2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0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0</w:t>
            </w:r>
          </w:p>
        </w:tc>
      </w:tr>
      <w:tr>
        <w:trPr/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>
                <w:b/>
                <w:b/>
              </w:rPr>
            </w:pPr>
            <w:r>
              <w:rPr>
                <w:b/>
              </w:rPr>
              <w:t>Časové rozlíšenie</w:t>
            </w:r>
          </w:p>
        </w:tc>
        <w:tc>
          <w:tcPr>
            <w:tcW w:w="2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620,57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2 383,03</w:t>
            </w:r>
          </w:p>
        </w:tc>
      </w:tr>
    </w:tbl>
    <w:p>
      <w:pPr>
        <w:pStyle w:val="Normal"/>
        <w:jc w:val="both"/>
        <w:rPr>
          <w:b/>
          <w:b/>
        </w:rPr>
      </w:pPr>
      <w:r>
        <w:rPr>
          <w:b/>
        </w:rPr>
      </w:r>
    </w:p>
    <w:p>
      <w:pPr>
        <w:pStyle w:val="Normal"/>
        <w:jc w:val="both"/>
        <w:rPr>
          <w:b/>
          <w:b/>
        </w:rPr>
      </w:pPr>
      <w:r>
        <w:rPr>
          <w:b/>
        </w:rPr>
        <w:t xml:space="preserve">P A S Í V A </w:t>
      </w:r>
    </w:p>
    <w:tbl>
      <w:tblPr>
        <w:tblW w:w="9426" w:type="dxa"/>
        <w:jc w:val="left"/>
        <w:tblInd w:w="151" w:type="dxa"/>
        <w:tblLayout w:type="fixed"/>
        <w:tblCellMar>
          <w:top w:w="0" w:type="dxa"/>
          <w:left w:w="70" w:type="dxa"/>
          <w:bottom w:w="0" w:type="dxa"/>
          <w:right w:w="70" w:type="dxa"/>
        </w:tblCellMar>
        <w:tblLook w:firstRow="0" w:noVBand="0" w:lastRow="0" w:firstColumn="0" w:lastColumn="0" w:noHBand="0" w:val="0000"/>
      </w:tblPr>
      <w:tblGrid>
        <w:gridCol w:w="3756"/>
        <w:gridCol w:w="2861"/>
        <w:gridCol w:w="2809"/>
      </w:tblGrid>
      <w:tr>
        <w:trPr/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widowControl w:val="false"/>
              <w:jc w:val="center"/>
              <w:rPr>
                <w:b/>
                <w:b/>
              </w:rPr>
            </w:pPr>
            <w:r>
              <w:rPr>
                <w:b/>
              </w:rPr>
              <w:t>Názov</w:t>
            </w:r>
          </w:p>
        </w:tc>
        <w:tc>
          <w:tcPr>
            <w:tcW w:w="2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widowControl w:val="false"/>
              <w:jc w:val="center"/>
              <w:rPr>
                <w:b/>
                <w:b/>
              </w:rPr>
            </w:pPr>
            <w:r>
              <w:rPr>
                <w:b/>
              </w:rPr>
              <w:t>ZS  k  1.1.2025 v €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widowControl w:val="false"/>
              <w:jc w:val="center"/>
              <w:rPr>
                <w:b/>
                <w:b/>
              </w:rPr>
            </w:pPr>
            <w:r>
              <w:rPr>
                <w:b/>
              </w:rPr>
              <w:t>KZ  k  31.12.2025 v €</w:t>
            </w:r>
          </w:p>
        </w:tc>
      </w:tr>
      <w:tr>
        <w:trPr/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4BC96" w:val="clear"/>
          </w:tcPr>
          <w:p>
            <w:pPr>
              <w:pStyle w:val="Normal"/>
              <w:widowControl w:val="false"/>
              <w:jc w:val="both"/>
              <w:rPr>
                <w:b/>
                <w:b/>
              </w:rPr>
            </w:pPr>
            <w:r>
              <w:rPr>
                <w:b/>
              </w:rPr>
              <w:t>Vlastné imanie a záväzky spolu</w:t>
            </w:r>
          </w:p>
        </w:tc>
        <w:tc>
          <w:tcPr>
            <w:tcW w:w="2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4BC96" w:val="clear"/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1 319 273,82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4BC96" w:val="clear"/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1 241 624,69</w:t>
            </w:r>
          </w:p>
        </w:tc>
      </w:tr>
      <w:tr>
        <w:trPr/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jc w:val="both"/>
              <w:rPr>
                <w:b/>
                <w:b/>
              </w:rPr>
            </w:pPr>
            <w:r>
              <w:rPr>
                <w:b/>
              </w:rPr>
              <w:t>Vlastné imanie</w:t>
            </w:r>
          </w:p>
        </w:tc>
        <w:tc>
          <w:tcPr>
            <w:tcW w:w="2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265 936,94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249 807,31</w:t>
            </w:r>
          </w:p>
        </w:tc>
      </w:tr>
      <w:tr>
        <w:trPr/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/>
            </w:pPr>
            <w:r>
              <w:rPr/>
              <w:t>z toho :</w:t>
            </w:r>
          </w:p>
        </w:tc>
        <w:tc>
          <w:tcPr>
            <w:tcW w:w="2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</w:r>
          </w:p>
        </w:tc>
      </w:tr>
      <w:tr>
        <w:trPr/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/>
            </w:pPr>
            <w:r>
              <w:rPr/>
              <w:t>Oceňovacie rozdiely</w:t>
            </w:r>
          </w:p>
        </w:tc>
        <w:tc>
          <w:tcPr>
            <w:tcW w:w="2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0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0</w:t>
            </w:r>
          </w:p>
        </w:tc>
      </w:tr>
      <w:tr>
        <w:trPr/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/>
            </w:pPr>
            <w:r>
              <w:rPr/>
              <w:t>Fondy</w:t>
            </w:r>
          </w:p>
        </w:tc>
        <w:tc>
          <w:tcPr>
            <w:tcW w:w="2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0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0</w:t>
            </w:r>
          </w:p>
        </w:tc>
      </w:tr>
      <w:tr>
        <w:trPr/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/>
            </w:pPr>
            <w:r>
              <w:rPr/>
              <w:t>Výsledok hospodárenia</w:t>
            </w:r>
          </w:p>
        </w:tc>
        <w:tc>
          <w:tcPr>
            <w:tcW w:w="2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265 936,94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249 807,31</w:t>
            </w:r>
          </w:p>
        </w:tc>
      </w:tr>
      <w:tr>
        <w:trPr/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jc w:val="both"/>
              <w:rPr>
                <w:b/>
                <w:b/>
              </w:rPr>
            </w:pPr>
            <w:r>
              <w:rPr>
                <w:b/>
              </w:rPr>
              <w:t>Záväzky</w:t>
            </w:r>
          </w:p>
        </w:tc>
        <w:tc>
          <w:tcPr>
            <w:tcW w:w="2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197 954,09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127 932,07</w:t>
            </w:r>
          </w:p>
        </w:tc>
      </w:tr>
      <w:tr>
        <w:trPr/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/>
            </w:pPr>
            <w:r>
              <w:rPr/>
              <w:t>z toho :</w:t>
            </w:r>
          </w:p>
        </w:tc>
        <w:tc>
          <w:tcPr>
            <w:tcW w:w="2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</w:r>
          </w:p>
        </w:tc>
      </w:tr>
      <w:tr>
        <w:trPr/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/>
            </w:pPr>
            <w:r>
              <w:rPr/>
              <w:t>Rezervy</w:t>
            </w:r>
          </w:p>
        </w:tc>
        <w:tc>
          <w:tcPr>
            <w:tcW w:w="2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885,60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848,70</w:t>
            </w:r>
          </w:p>
        </w:tc>
      </w:tr>
      <w:tr>
        <w:trPr/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/>
            </w:pPr>
            <w:r>
              <w:rPr/>
              <w:t>Zúčtovanie medzi subjektami VS</w:t>
            </w:r>
          </w:p>
        </w:tc>
        <w:tc>
          <w:tcPr>
            <w:tcW w:w="2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5 957,31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34 172,89</w:t>
            </w:r>
          </w:p>
        </w:tc>
      </w:tr>
      <w:tr>
        <w:trPr/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/>
            </w:pPr>
            <w:r>
              <w:rPr/>
              <w:t>Dlhodobé záväzky</w:t>
            </w:r>
          </w:p>
        </w:tc>
        <w:tc>
          <w:tcPr>
            <w:tcW w:w="2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3 777,79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4 349,73</w:t>
            </w:r>
          </w:p>
        </w:tc>
      </w:tr>
      <w:tr>
        <w:trPr/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/>
            </w:pPr>
            <w:r>
              <w:rPr/>
              <w:t>Krátkodobé záväzky</w:t>
            </w:r>
          </w:p>
        </w:tc>
        <w:tc>
          <w:tcPr>
            <w:tcW w:w="2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20 283,07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22 360,67</w:t>
            </w:r>
          </w:p>
        </w:tc>
      </w:tr>
      <w:tr>
        <w:trPr/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/>
            </w:pPr>
            <w:r>
              <w:rPr/>
              <w:t>Bankové úvery a výpomoci</w:t>
            </w:r>
          </w:p>
        </w:tc>
        <w:tc>
          <w:tcPr>
            <w:tcW w:w="2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167 050,32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66 200,08</w:t>
            </w:r>
          </w:p>
        </w:tc>
      </w:tr>
      <w:tr>
        <w:trPr/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/>
            </w:pPr>
            <w:r>
              <w:rPr>
                <w:b/>
              </w:rPr>
              <w:t>Časové rozlíšenie</w:t>
            </w:r>
          </w:p>
        </w:tc>
        <w:tc>
          <w:tcPr>
            <w:tcW w:w="2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855 382,79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863 885,31</w:t>
            </w:r>
          </w:p>
        </w:tc>
      </w:tr>
    </w:tbl>
    <w:p>
      <w:pPr>
        <w:pStyle w:val="Normal"/>
        <w:rPr>
          <w:b/>
          <w:b/>
          <w:highlight w:val="yellow"/>
        </w:rPr>
      </w:pPr>
      <w:r>
        <w:rPr>
          <w:b/>
          <w:highlight w:val="yellow"/>
        </w:rPr>
      </w:r>
    </w:p>
    <w:p>
      <w:pPr>
        <w:pStyle w:val="Normal"/>
        <w:rPr>
          <w:b/>
          <w:b/>
          <w:highlight w:val="yellow"/>
        </w:rPr>
      </w:pPr>
      <w:r>
        <w:rPr>
          <w:b/>
          <w:highlight w:val="yellow"/>
        </w:rPr>
      </w:r>
    </w:p>
    <w:p>
      <w:pPr>
        <w:pStyle w:val="Normal"/>
        <w:rPr>
          <w:b/>
          <w:b/>
          <w:highlight w:val="yellow"/>
        </w:rPr>
      </w:pPr>
      <w:r>
        <w:rPr>
          <w:b/>
          <w:highlight w:val="yellow"/>
        </w:rPr>
      </w:r>
    </w:p>
    <w:p>
      <w:pPr>
        <w:pStyle w:val="Normal"/>
        <w:rPr>
          <w:b/>
          <w:b/>
          <w:highlight w:val="yellow"/>
        </w:rPr>
      </w:pPr>
      <w:r>
        <w:rPr>
          <w:b/>
          <w:highlight w:val="yellow"/>
        </w:rPr>
      </w:r>
    </w:p>
    <w:p>
      <w:pPr>
        <w:pStyle w:val="Nadpis4"/>
        <w:rPr>
          <w:rFonts w:ascii="Times New Roman" w:hAnsi="Times New Roman" w:cs="Times New Roman"/>
          <w:b/>
          <w:b/>
          <w:color w:val="auto"/>
        </w:rPr>
      </w:pPr>
      <w:r>
        <w:rPr>
          <w:rFonts w:cs="Times New Roman" w:ascii="Times New Roman" w:hAnsi="Times New Roman"/>
          <w:b/>
          <w:color w:val="auto"/>
        </w:rPr>
        <w:t xml:space="preserve">Finančný dlhodobý majetok  </w:t>
      </w:r>
    </w:p>
    <w:tbl>
      <w:tblPr>
        <w:tblW w:w="9430" w:type="dxa"/>
        <w:jc w:val="left"/>
        <w:tblInd w:w="151" w:type="dxa"/>
        <w:tblLayout w:type="fixed"/>
        <w:tblCellMar>
          <w:top w:w="0" w:type="dxa"/>
          <w:left w:w="70" w:type="dxa"/>
          <w:bottom w:w="0" w:type="dxa"/>
          <w:right w:w="70" w:type="dxa"/>
        </w:tblCellMar>
        <w:tblLook w:firstRow="0" w:noVBand="0" w:lastRow="0" w:firstColumn="0" w:lastColumn="0" w:noHBand="0" w:val="0000"/>
      </w:tblPr>
      <w:tblGrid>
        <w:gridCol w:w="3039"/>
        <w:gridCol w:w="1701"/>
        <w:gridCol w:w="1276"/>
        <w:gridCol w:w="1275"/>
        <w:gridCol w:w="2139"/>
      </w:tblGrid>
      <w:tr>
        <w:trPr/>
        <w:tc>
          <w:tcPr>
            <w:tcW w:w="3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>
                <w:b/>
                <w:b/>
              </w:rPr>
            </w:pPr>
            <w:r>
              <w:rPr>
                <w:b/>
              </w:rPr>
              <w:t>Stav k 1.1.2025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  <w:b/>
              </w:rPr>
            </w:pPr>
            <w:r>
              <w:rPr>
                <w:b/>
              </w:rPr>
              <w:t>Prírastky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  <w:b/>
              </w:rPr>
            </w:pPr>
            <w:r>
              <w:rPr>
                <w:b/>
              </w:rPr>
              <w:t>Úbytky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>
                <w:b/>
                <w:b/>
              </w:rPr>
            </w:pPr>
            <w:r>
              <w:rPr>
                <w:b/>
              </w:rPr>
              <w:t>Stav k 31.12.2025</w:t>
            </w:r>
          </w:p>
        </w:tc>
      </w:tr>
      <w:tr>
        <w:trPr/>
        <w:tc>
          <w:tcPr>
            <w:tcW w:w="3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  <w:b/>
              </w:rPr>
            </w:pPr>
            <w:r>
              <w:rPr>
                <w:b/>
              </w:rPr>
              <w:t>VVS Košice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right"/>
              <w:rPr>
                <w:rFonts w:ascii="Times New Roman" w:hAnsi="Times New Roman"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</w:pPr>
            <w:r>
              <w:rPr>
                <w:rFonts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  <w:t>33,00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right"/>
              <w:rPr/>
            </w:pPr>
            <w:r>
              <w:rPr/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right"/>
              <w:rPr/>
            </w:pPr>
            <w:r>
              <w:rPr/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33,00</w:t>
            </w:r>
          </w:p>
        </w:tc>
      </w:tr>
      <w:tr>
        <w:trPr/>
        <w:tc>
          <w:tcPr>
            <w:tcW w:w="3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  <w:b/>
              </w:rPr>
            </w:pPr>
            <w:r>
              <w:rPr>
                <w:b/>
              </w:rPr>
              <w:t>Dlhopisy Voda spieva 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48 777,44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right"/>
              <w:rPr/>
            </w:pPr>
            <w:r>
              <w:rPr/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right"/>
              <w:rPr/>
            </w:pPr>
            <w:r>
              <w:rPr/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48 777,44</w:t>
            </w:r>
          </w:p>
        </w:tc>
      </w:tr>
      <w:tr>
        <w:trPr/>
        <w:tc>
          <w:tcPr>
            <w:tcW w:w="3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  <w:b/>
              </w:rPr>
            </w:pPr>
            <w:r>
              <w:rPr>
                <w:b/>
              </w:rPr>
              <w:t>Prima banka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1 995,00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right"/>
              <w:rPr/>
            </w:pPr>
            <w:r>
              <w:rPr/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right"/>
              <w:rPr/>
            </w:pPr>
            <w:r>
              <w:rPr/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1 995,00</w:t>
            </w:r>
          </w:p>
        </w:tc>
      </w:tr>
      <w:tr>
        <w:trPr/>
        <w:tc>
          <w:tcPr>
            <w:tcW w:w="3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  <w:b/>
                <w:i/>
                <w:i/>
              </w:rPr>
            </w:pPr>
            <w:r>
              <w:rPr>
                <w:b/>
                <w:i/>
              </w:rPr>
              <w:t>Zostatková cena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50 805,44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right"/>
              <w:rPr/>
            </w:pPr>
            <w:r>
              <w:rPr/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right"/>
              <w:rPr/>
            </w:pPr>
            <w:r>
              <w:rPr/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50 805,44</w:t>
            </w:r>
          </w:p>
        </w:tc>
      </w:tr>
    </w:tbl>
    <w:p>
      <w:pPr>
        <w:pStyle w:val="Nadpis4"/>
        <w:rPr>
          <w:rFonts w:ascii="Times New Roman" w:hAnsi="Times New Roman" w:cs="Times New Roman"/>
          <w:b/>
          <w:b/>
          <w:color w:val="auto"/>
        </w:rPr>
      </w:pPr>
      <w:r>
        <w:rPr>
          <w:rFonts w:cs="Times New Roman" w:ascii="Times New Roman" w:hAnsi="Times New Roman"/>
          <w:b/>
          <w:color w:val="auto"/>
        </w:rPr>
      </w:r>
    </w:p>
    <w:p>
      <w:pPr>
        <w:pStyle w:val="Nadpis4"/>
        <w:rPr>
          <w:rFonts w:ascii="Times New Roman" w:hAnsi="Times New Roman" w:cs="Times New Roman"/>
          <w:b/>
          <w:b/>
          <w:color w:val="auto"/>
        </w:rPr>
      </w:pPr>
      <w:r>
        <w:rPr>
          <w:rFonts w:cs="Times New Roman" w:ascii="Times New Roman" w:hAnsi="Times New Roman"/>
          <w:b/>
          <w:color w:val="auto"/>
        </w:rPr>
        <w:t>Majetok na účte 031 - Pozemky</w:t>
      </w:r>
    </w:p>
    <w:tbl>
      <w:tblPr>
        <w:tblW w:w="9430" w:type="dxa"/>
        <w:jc w:val="left"/>
        <w:tblInd w:w="151" w:type="dxa"/>
        <w:tblLayout w:type="fixed"/>
        <w:tblCellMar>
          <w:top w:w="0" w:type="dxa"/>
          <w:left w:w="70" w:type="dxa"/>
          <w:bottom w:w="0" w:type="dxa"/>
          <w:right w:w="70" w:type="dxa"/>
        </w:tblCellMar>
        <w:tblLook w:firstRow="0" w:noVBand="0" w:lastRow="0" w:firstColumn="0" w:lastColumn="0" w:noHBand="0" w:val="0000"/>
      </w:tblPr>
      <w:tblGrid>
        <w:gridCol w:w="2098"/>
        <w:gridCol w:w="2098"/>
        <w:gridCol w:w="1627"/>
        <w:gridCol w:w="1439"/>
        <w:gridCol w:w="2168"/>
      </w:tblGrid>
      <w:tr>
        <w:trPr/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/>
              </w:rPr>
            </w:pPr>
            <w:r>
              <w:rPr>
                <w:b/>
              </w:rPr>
              <w:t>Stav k 1.1.2025</w:t>
            </w:r>
          </w:p>
        </w:tc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/>
              </w:rPr>
            </w:pPr>
            <w:r>
              <w:rPr>
                <w:b/>
              </w:rPr>
              <w:t>Prírastky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/>
              </w:rPr>
            </w:pPr>
            <w:r>
              <w:rPr>
                <w:b/>
              </w:rPr>
              <w:t>Úbytky</w:t>
            </w: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/>
              </w:rPr>
            </w:pPr>
            <w:r>
              <w:rPr>
                <w:b/>
              </w:rPr>
              <w:t>Stav k 31.12.2025</w:t>
            </w:r>
          </w:p>
        </w:tc>
      </w:tr>
      <w:tr>
        <w:trPr/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  <w:b/>
              </w:rPr>
            </w:pPr>
            <w:r>
              <w:rPr>
                <w:b/>
              </w:rPr>
              <w:t>Obstarávacia cena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66 002,72</w:t>
            </w:r>
          </w:p>
        </w:tc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right"/>
              <w:rPr/>
            </w:pPr>
            <w:r>
              <w:rPr/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right"/>
              <w:rPr/>
            </w:pPr>
            <w:r>
              <w:rPr/>
            </w: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66 002,72</w:t>
            </w:r>
          </w:p>
        </w:tc>
      </w:tr>
    </w:tbl>
    <w:p>
      <w:pPr>
        <w:pStyle w:val="Normal"/>
        <w:jc w:val="both"/>
        <w:rPr>
          <w:bCs/>
          <w:highlight w:val="yellow"/>
        </w:rPr>
      </w:pPr>
      <w:r>
        <w:rPr>
          <w:bCs/>
          <w:highlight w:val="yellow"/>
        </w:rPr>
      </w:r>
    </w:p>
    <w:p>
      <w:pPr>
        <w:pStyle w:val="Normal"/>
        <w:jc w:val="both"/>
        <w:rPr>
          <w:bCs/>
        </w:rPr>
      </w:pPr>
      <w:r>
        <w:rPr>
          <w:bCs/>
        </w:rPr>
      </w:r>
    </w:p>
    <w:p>
      <w:pPr>
        <w:pStyle w:val="Normal"/>
        <w:jc w:val="both"/>
        <w:rPr>
          <w:bCs/>
          <w:highlight w:val="yellow"/>
        </w:rPr>
      </w:pPr>
      <w:r>
        <w:rPr>
          <w:bCs/>
          <w:highlight w:val="yellow"/>
        </w:rPr>
      </w:r>
    </w:p>
    <w:p>
      <w:pPr>
        <w:pStyle w:val="Normal"/>
        <w:rPr>
          <w:b/>
          <w:b/>
          <w:bCs/>
          <w:i/>
          <w:i/>
          <w:iCs/>
        </w:rPr>
      </w:pPr>
      <w:r>
        <w:rPr>
          <w:b/>
          <w:bCs/>
          <w:i/>
          <w:iCs/>
        </w:rPr>
        <w:t>Obstaranie dlhodobého majetku</w:t>
      </w:r>
    </w:p>
    <w:tbl>
      <w:tblPr>
        <w:tblW w:w="9072" w:type="dxa"/>
        <w:jc w:val="left"/>
        <w:tblInd w:w="151" w:type="dxa"/>
        <w:tblLayout w:type="fixed"/>
        <w:tblCellMar>
          <w:top w:w="0" w:type="dxa"/>
          <w:left w:w="70" w:type="dxa"/>
          <w:bottom w:w="0" w:type="dxa"/>
          <w:right w:w="70" w:type="dxa"/>
        </w:tblCellMar>
        <w:tblLook w:firstRow="0" w:noVBand="0" w:lastRow="0" w:firstColumn="0" w:lastColumn="0" w:noHBand="0" w:val="0000"/>
      </w:tblPr>
      <w:tblGrid>
        <w:gridCol w:w="2268"/>
        <w:gridCol w:w="2268"/>
        <w:gridCol w:w="2268"/>
        <w:gridCol w:w="2267"/>
      </w:tblGrid>
      <w:tr>
        <w:trPr/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  <w:b/>
              </w:rPr>
            </w:pPr>
            <w:r>
              <w:rPr>
                <w:b/>
              </w:rPr>
              <w:t xml:space="preserve">      </w:t>
            </w:r>
            <w:r>
              <w:rPr>
                <w:b/>
              </w:rPr>
              <w:t>041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  <w:b/>
              </w:rPr>
            </w:pPr>
            <w:r>
              <w:rPr>
                <w:b/>
              </w:rPr>
              <w:t xml:space="preserve">       </w:t>
            </w:r>
            <w:r>
              <w:rPr>
                <w:b/>
              </w:rPr>
              <w:t>042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  <w:b/>
              </w:rPr>
            </w:pPr>
            <w:r>
              <w:rPr>
                <w:b/>
              </w:rPr>
              <w:t xml:space="preserve">          </w:t>
            </w:r>
            <w:r>
              <w:rPr>
                <w:b/>
              </w:rPr>
              <w:t>043</w:t>
            </w:r>
          </w:p>
        </w:tc>
      </w:tr>
      <w:tr>
        <w:trPr/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  <w:b/>
              </w:rPr>
            </w:pPr>
            <w:r>
              <w:rPr>
                <w:b/>
              </w:rPr>
              <w:t>Stav k 1.1. 2025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  <w:t>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19 </w:t>
            </w:r>
            <w:r>
              <w:rPr>
                <w:rFonts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  <w:t>570</w:t>
            </w:r>
            <w:r>
              <w:rPr/>
              <w:t>,79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</w:r>
          </w:p>
        </w:tc>
      </w:tr>
      <w:tr>
        <w:trPr/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  <w:b/>
              </w:rPr>
            </w:pPr>
            <w:r>
              <w:rPr>
                <w:b/>
              </w:rPr>
              <w:t>Prírastky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  <w:t>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right"/>
              <w:rPr>
                <w:rFonts w:ascii="Times New Roman" w:hAnsi="Times New Roman"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</w:pPr>
            <w:r>
              <w:rPr>
                <w:rFonts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  <w:t>900,00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</w:r>
          </w:p>
        </w:tc>
      </w:tr>
      <w:tr>
        <w:trPr/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  <w:b/>
              </w:rPr>
            </w:pPr>
            <w:r>
              <w:rPr>
                <w:b/>
              </w:rPr>
              <w:t>Úbytky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  <w:t>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right"/>
              <w:rPr/>
            </w:pPr>
            <w:r>
              <w:rPr/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</w:r>
          </w:p>
        </w:tc>
      </w:tr>
      <w:tr>
        <w:trPr/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  <w:b/>
              </w:rPr>
            </w:pPr>
            <w:r>
              <w:rPr>
                <w:b/>
              </w:rPr>
              <w:t>Stav k 31.12.2025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  <w:t>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20 470,79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</w:r>
          </w:p>
        </w:tc>
      </w:tr>
    </w:tbl>
    <w:p>
      <w:pPr>
        <w:pStyle w:val="Normal"/>
        <w:rPr>
          <w:highlight w:val="yellow"/>
        </w:rPr>
      </w:pPr>
      <w:r>
        <w:rPr>
          <w:highlight w:val="yellow"/>
        </w:rPr>
      </w:r>
    </w:p>
    <w:p>
      <w:pPr>
        <w:pStyle w:val="Normal"/>
        <w:rPr>
          <w:b/>
          <w:b/>
          <w:bCs/>
          <w:i/>
          <w:i/>
        </w:rPr>
      </w:pPr>
      <w:r>
        <w:rPr>
          <w:b/>
          <w:bCs/>
          <w:i/>
        </w:rPr>
        <w:t>Pohľadávky</w:t>
      </w:r>
    </w:p>
    <w:tbl>
      <w:tblPr>
        <w:tblW w:w="7258" w:type="dxa"/>
        <w:jc w:val="left"/>
        <w:tblInd w:w="151" w:type="dxa"/>
        <w:tblLayout w:type="fixed"/>
        <w:tblCellMar>
          <w:top w:w="0" w:type="dxa"/>
          <w:left w:w="70" w:type="dxa"/>
          <w:bottom w:w="0" w:type="dxa"/>
          <w:right w:w="70" w:type="dxa"/>
        </w:tblCellMar>
        <w:tblLook w:firstRow="0" w:noVBand="0" w:lastRow="0" w:firstColumn="0" w:lastColumn="0" w:noHBand="0" w:val="0000"/>
      </w:tblPr>
      <w:tblGrid>
        <w:gridCol w:w="5881"/>
        <w:gridCol w:w="1376"/>
      </w:tblGrid>
      <w:tr>
        <w:trPr/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adpis3"/>
              <w:widowControl w:val="false"/>
              <w:spacing w:before="240" w:after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Označenie – názov účtu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/>
            </w:pPr>
            <w:r>
              <w:rPr/>
              <w:t>Suma v €</w:t>
            </w:r>
          </w:p>
        </w:tc>
      </w:tr>
      <w:tr>
        <w:trPr/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  <w:t>311 – Odberatelia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538,72</w:t>
            </w:r>
          </w:p>
        </w:tc>
      </w:tr>
      <w:tr>
        <w:trPr/>
        <w:tc>
          <w:tcPr>
            <w:tcW w:w="5881" w:type="dxa"/>
            <w:tcBorders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  <w:t>314 – Poskytnuté prevvádzkové preddavky</w:t>
            </w:r>
          </w:p>
        </w:tc>
        <w:tc>
          <w:tcPr>
            <w:tcW w:w="1376" w:type="dxa"/>
            <w:tcBorders>
              <w:left w:val="single" w:sz="4" w:space="0" w:color="000000"/>
              <w:bottom w:val="doub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200,00</w:t>
            </w:r>
          </w:p>
        </w:tc>
      </w:tr>
      <w:tr>
        <w:trPr/>
        <w:tc>
          <w:tcPr>
            <w:tcW w:w="5881" w:type="dxa"/>
            <w:tcBorders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  <w:t>315 - Ostatné pohľadávky</w:t>
            </w:r>
          </w:p>
        </w:tc>
        <w:tc>
          <w:tcPr>
            <w:tcW w:w="1376" w:type="dxa"/>
            <w:tcBorders>
              <w:left w:val="single" w:sz="4" w:space="0" w:color="000000"/>
              <w:bottom w:val="doub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1 053,83</w:t>
            </w:r>
          </w:p>
        </w:tc>
      </w:tr>
      <w:tr>
        <w:trPr/>
        <w:tc>
          <w:tcPr>
            <w:tcW w:w="5881" w:type="dxa"/>
            <w:tcBorders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  <w:t>318 – pohľadávky nedaňové</w:t>
            </w:r>
          </w:p>
        </w:tc>
        <w:tc>
          <w:tcPr>
            <w:tcW w:w="1376" w:type="dxa"/>
            <w:tcBorders>
              <w:left w:val="single" w:sz="4" w:space="0" w:color="000000"/>
              <w:bottom w:val="doub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621,00</w:t>
            </w:r>
          </w:p>
        </w:tc>
      </w:tr>
      <w:tr>
        <w:trPr/>
        <w:tc>
          <w:tcPr>
            <w:tcW w:w="5881" w:type="dxa"/>
            <w:tcBorders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  <w:t>319 – pohľadávky za daňové príjmy obce</w:t>
            </w:r>
          </w:p>
        </w:tc>
        <w:tc>
          <w:tcPr>
            <w:tcW w:w="1376" w:type="dxa"/>
            <w:tcBorders>
              <w:left w:val="single" w:sz="4" w:space="0" w:color="000000"/>
              <w:bottom w:val="doub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616,51</w:t>
            </w:r>
          </w:p>
        </w:tc>
      </w:tr>
      <w:tr>
        <w:trPr/>
        <w:tc>
          <w:tcPr>
            <w:tcW w:w="5881" w:type="dxa"/>
            <w:tcBorders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  <w:t>335 – voči zamestnancom</w:t>
            </w:r>
          </w:p>
        </w:tc>
        <w:tc>
          <w:tcPr>
            <w:tcW w:w="1376" w:type="dxa"/>
            <w:tcBorders>
              <w:left w:val="single" w:sz="4" w:space="0" w:color="000000"/>
              <w:bottom w:val="doub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1 167,45</w:t>
            </w:r>
          </w:p>
        </w:tc>
      </w:tr>
      <w:tr>
        <w:trPr/>
        <w:tc>
          <w:tcPr>
            <w:tcW w:w="5881" w:type="dxa"/>
            <w:tcBorders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  <w:t>379 - Iné pohľadávky</w:t>
            </w:r>
          </w:p>
        </w:tc>
        <w:tc>
          <w:tcPr>
            <w:tcW w:w="1376" w:type="dxa"/>
            <w:tcBorders>
              <w:left w:val="single" w:sz="4" w:space="0" w:color="000000"/>
              <w:bottom w:val="doub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50,00</w:t>
            </w:r>
          </w:p>
        </w:tc>
      </w:tr>
      <w:tr>
        <w:trPr/>
        <w:tc>
          <w:tcPr>
            <w:tcW w:w="5881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  <w:b/>
              </w:rPr>
            </w:pPr>
            <w:r>
              <w:rPr>
                <w:b/>
              </w:rPr>
              <w:t>S p o l u :</w:t>
            </w:r>
          </w:p>
        </w:tc>
        <w:tc>
          <w:tcPr>
            <w:tcW w:w="1376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right"/>
              <w:rPr>
                <w:b/>
                <w:b/>
              </w:rPr>
            </w:pPr>
            <w:r>
              <w:rPr>
                <w:b/>
              </w:rPr>
              <w:t>4 247,51</w:t>
            </w:r>
          </w:p>
        </w:tc>
      </w:tr>
    </w:tbl>
    <w:p>
      <w:pPr>
        <w:pStyle w:val="Normal"/>
        <w:rPr>
          <w:highlight w:val="yellow"/>
        </w:rPr>
      </w:pPr>
      <w:r>
        <w:rPr>
          <w:highlight w:val="yellow"/>
        </w:rPr>
      </w:r>
    </w:p>
    <w:p>
      <w:pPr>
        <w:pStyle w:val="Normal"/>
        <w:spacing w:lineRule="auto" w:line="360"/>
        <w:jc w:val="both"/>
        <w:rPr/>
      </w:pPr>
      <w:r>
        <w:rPr/>
        <w:t xml:space="preserve">Pohľadávky vo výške 538,72 € - Odberatelia je nájomné za priestory predajne Coop Jednota za mesiac december 2025, ktoré spoločnosť uhrádza nasledovný mesiac po vystavení faktúry. </w:t>
      </w:r>
    </w:p>
    <w:p>
      <w:pPr>
        <w:pStyle w:val="Normal"/>
        <w:spacing w:lineRule="auto" w:line="360"/>
        <w:jc w:val="both"/>
        <w:rPr/>
      </w:pPr>
      <w:r>
        <w:rPr/>
        <w:t>Dobropisy sú vo výške 1 053,83 € za energie.</w:t>
      </w:r>
    </w:p>
    <w:p>
      <w:pPr>
        <w:pStyle w:val="Normal"/>
        <w:spacing w:lineRule="auto" w:line="360"/>
        <w:jc w:val="both"/>
        <w:rPr/>
      </w:pPr>
      <w:r>
        <w:rPr/>
        <w:t xml:space="preserve">Na účte pohľadávky nedaňové je zostatok </w:t>
      </w:r>
      <w:r>
        <w:rPr>
          <w:rFonts w:eastAsia="Times New Roman" w:cs="Times New Roman"/>
          <w:color w:val="auto"/>
          <w:kern w:val="0"/>
          <w:sz w:val="24"/>
          <w:szCs w:val="24"/>
          <w:lang w:val="sk-SK" w:eastAsia="cs-CZ" w:bidi="ar-SA"/>
        </w:rPr>
        <w:t>621,00</w:t>
      </w:r>
      <w:r>
        <w:rPr/>
        <w:t xml:space="preserve"> €, ktorú súvisí s pohľadávkami v rámci komunálneho odpadu. </w:t>
      </w:r>
    </w:p>
    <w:p>
      <w:pPr>
        <w:pStyle w:val="Normal"/>
        <w:spacing w:lineRule="auto" w:line="360"/>
        <w:jc w:val="both"/>
        <w:rPr/>
      </w:pPr>
      <w:r>
        <w:rPr/>
        <w:t>Pohľadávky voči zamestnancom tvorí príspevok na stravovanie, ktorý sa vypláca zamestnancom.</w:t>
      </w:r>
    </w:p>
    <w:p>
      <w:pPr>
        <w:pStyle w:val="Normal"/>
        <w:spacing w:lineRule="auto" w:line="360"/>
        <w:jc w:val="both"/>
        <w:rPr/>
      </w:pPr>
      <w:r>
        <w:rPr/>
        <w:t>Na účte pohľadávky daňové je zostatok z roku 2025 vo výške 616,51 €.</w:t>
      </w:r>
    </w:p>
    <w:p>
      <w:pPr>
        <w:pStyle w:val="Normal"/>
        <w:spacing w:lineRule="auto" w:line="360"/>
        <w:jc w:val="both"/>
        <w:rPr/>
      </w:pPr>
      <w:r>
        <w:rPr/>
        <w:t>Po vyčíslení skutočných pohľadávok z dane z nehnuteľnosti sme zaslali výzvy na úhradu. K 31.12.2025 sme evidovali pohľadávky vo výške 616,51 €, po upomienkach občania svoje záväzky voči obci z roku 2025 uhradili a ku 31.03.2026 už evidujeme pohľadávky z dane z nehnuteľnosti za rok 2025 len vo výške …...- €. Opätovne im zašleme upomienku.</w:t>
      </w:r>
    </w:p>
    <w:tbl>
      <w:tblPr>
        <w:tblW w:w="7816" w:type="dxa"/>
        <w:jc w:val="left"/>
        <w:tblInd w:w="70" w:type="dxa"/>
        <w:tblLayout w:type="fixed"/>
        <w:tblCellMar>
          <w:top w:w="0" w:type="dxa"/>
          <w:left w:w="70" w:type="dxa"/>
          <w:bottom w:w="0" w:type="dxa"/>
          <w:right w:w="70" w:type="dxa"/>
        </w:tblCellMar>
        <w:tblLook w:firstRow="1" w:noVBand="1" w:lastRow="0" w:firstColumn="1" w:lastColumn="0" w:noHBand="0" w:val="04a0"/>
      </w:tblPr>
      <w:tblGrid>
        <w:gridCol w:w="2390"/>
        <w:gridCol w:w="2713"/>
        <w:gridCol w:w="2713"/>
      </w:tblGrid>
      <w:tr>
        <w:trPr>
          <w:trHeight w:val="264" w:hRule="atLeast"/>
        </w:trPr>
        <w:tc>
          <w:tcPr>
            <w:tcW w:w="2390" w:type="dxa"/>
            <w:tcBorders>
              <w:top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rPr>
                <w:b/>
                <w:b/>
                <w:bCs/>
                <w:sz w:val="20"/>
                <w:lang w:eastAsia="sk-SK"/>
              </w:rPr>
            </w:pPr>
            <w:r>
              <w:rPr>
                <w:b/>
                <w:bCs/>
                <w:sz w:val="20"/>
                <w:lang w:eastAsia="sk-SK"/>
              </w:rPr>
              <w:t>Číslo rozhodnutia</w:t>
            </w:r>
          </w:p>
        </w:tc>
        <w:tc>
          <w:tcPr>
            <w:tcW w:w="2713" w:type="dxa"/>
            <w:tcBorders>
              <w:top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jc w:val="center"/>
              <w:rPr>
                <w:b/>
                <w:b/>
                <w:bCs/>
                <w:sz w:val="20"/>
                <w:lang w:eastAsia="sk-SK"/>
              </w:rPr>
            </w:pPr>
            <w:r>
              <w:rPr>
                <w:b/>
                <w:bCs/>
                <w:sz w:val="20"/>
                <w:lang w:eastAsia="sk-SK"/>
              </w:rPr>
              <w:t>Daň z nehnuteľnosti 2025</w:t>
            </w:r>
          </w:p>
          <w:p>
            <w:pPr>
              <w:pStyle w:val="Normal"/>
              <w:widowControl w:val="false"/>
              <w:suppressAutoHyphens w:val="false"/>
              <w:jc w:val="center"/>
              <w:rPr>
                <w:b/>
                <w:b/>
                <w:bCs/>
                <w:sz w:val="20"/>
                <w:lang w:eastAsia="sk-SK"/>
              </w:rPr>
            </w:pPr>
            <w:r>
              <w:rPr>
                <w:b/>
                <w:bCs/>
                <w:sz w:val="20"/>
                <w:lang w:eastAsia="sk-SK"/>
              </w:rPr>
              <w:t xml:space="preserve"> </w:t>
            </w:r>
            <w:r>
              <w:rPr>
                <w:b/>
                <w:bCs/>
                <w:sz w:val="20"/>
                <w:lang w:eastAsia="sk-SK"/>
              </w:rPr>
              <w:t>neuhradená</w:t>
            </w:r>
          </w:p>
        </w:tc>
        <w:tc>
          <w:tcPr>
            <w:tcW w:w="2713" w:type="dxa"/>
            <w:tcBorders>
              <w:top w:val="single" w:sz="8" w:space="0" w:color="000000"/>
            </w:tcBorders>
          </w:tcPr>
          <w:p>
            <w:pPr>
              <w:pStyle w:val="Normal"/>
              <w:widowControl w:val="false"/>
              <w:suppressAutoHyphens w:val="false"/>
              <w:jc w:val="center"/>
              <w:rPr>
                <w:b/>
                <w:b/>
                <w:bCs/>
                <w:sz w:val="20"/>
                <w:lang w:eastAsia="sk-SK"/>
              </w:rPr>
            </w:pPr>
            <w:r>
              <w:rPr>
                <w:b/>
                <w:bCs/>
                <w:sz w:val="20"/>
                <w:lang w:eastAsia="sk-SK"/>
              </w:rPr>
              <w:t>Splatené pohľadávky už v roku 2025</w:t>
            </w:r>
          </w:p>
        </w:tc>
      </w:tr>
      <w:tr>
        <w:trPr>
          <w:trHeight w:val="264" w:hRule="atLeast"/>
        </w:trPr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rPr>
                <w:sz w:val="20"/>
                <w:szCs w:val="20"/>
                <w:lang w:eastAsia="sk-SK"/>
              </w:rPr>
            </w:pPr>
            <w:r>
              <w:rPr>
                <w:sz w:val="20"/>
                <w:szCs w:val="20"/>
                <w:lang w:eastAsia="sk-SK"/>
              </w:rPr>
            </w:r>
          </w:p>
        </w:tc>
        <w:tc>
          <w:tcPr>
            <w:tcW w:w="271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jc w:val="center"/>
              <w:rPr>
                <w:sz w:val="20"/>
                <w:szCs w:val="20"/>
                <w:lang w:eastAsia="sk-SK"/>
              </w:rPr>
            </w:pPr>
            <w:r>
              <w:rPr>
                <w:sz w:val="20"/>
                <w:szCs w:val="20"/>
                <w:lang w:eastAsia="sk-SK"/>
              </w:rPr>
            </w:r>
          </w:p>
        </w:tc>
        <w:tc>
          <w:tcPr>
            <w:tcW w:w="271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jc w:val="center"/>
              <w:rPr>
                <w:sz w:val="20"/>
                <w:szCs w:val="20"/>
                <w:lang w:eastAsia="sk-SK"/>
              </w:rPr>
            </w:pPr>
            <w:r>
              <w:rPr>
                <w:sz w:val="20"/>
                <w:szCs w:val="20"/>
                <w:lang w:eastAsia="sk-SK"/>
              </w:rPr>
            </w:r>
          </w:p>
        </w:tc>
      </w:tr>
      <w:tr>
        <w:trPr>
          <w:trHeight w:val="264" w:hRule="atLeast"/>
        </w:trPr>
        <w:tc>
          <w:tcPr>
            <w:tcW w:w="23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rPr>
                <w:sz w:val="20"/>
                <w:szCs w:val="20"/>
                <w:lang w:eastAsia="sk-SK"/>
              </w:rPr>
            </w:pPr>
            <w:r>
              <w:rPr>
                <w:sz w:val="20"/>
                <w:szCs w:val="20"/>
                <w:lang w:eastAsia="sk-SK"/>
              </w:rPr>
            </w:r>
          </w:p>
        </w:tc>
        <w:tc>
          <w:tcPr>
            <w:tcW w:w="271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jc w:val="center"/>
              <w:rPr>
                <w:sz w:val="20"/>
                <w:szCs w:val="20"/>
                <w:lang w:eastAsia="sk-SK"/>
              </w:rPr>
            </w:pPr>
            <w:r>
              <w:rPr>
                <w:sz w:val="20"/>
                <w:szCs w:val="20"/>
                <w:lang w:eastAsia="sk-SK"/>
              </w:rPr>
            </w:r>
          </w:p>
        </w:tc>
        <w:tc>
          <w:tcPr>
            <w:tcW w:w="2713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jc w:val="center"/>
              <w:rPr>
                <w:sz w:val="20"/>
                <w:szCs w:val="20"/>
                <w:lang w:eastAsia="sk-SK"/>
              </w:rPr>
            </w:pPr>
            <w:r>
              <w:rPr>
                <w:sz w:val="20"/>
                <w:szCs w:val="20"/>
                <w:lang w:eastAsia="sk-SK"/>
              </w:rPr>
            </w:r>
          </w:p>
        </w:tc>
      </w:tr>
      <w:tr>
        <w:trPr>
          <w:trHeight w:val="264" w:hRule="atLeast"/>
        </w:trPr>
        <w:tc>
          <w:tcPr>
            <w:tcW w:w="23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rPr>
                <w:sz w:val="20"/>
                <w:szCs w:val="20"/>
                <w:lang w:eastAsia="sk-SK"/>
              </w:rPr>
            </w:pPr>
            <w:r>
              <w:rPr>
                <w:sz w:val="20"/>
                <w:szCs w:val="20"/>
                <w:lang w:eastAsia="sk-SK"/>
              </w:rPr>
            </w:r>
          </w:p>
        </w:tc>
        <w:tc>
          <w:tcPr>
            <w:tcW w:w="271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jc w:val="center"/>
              <w:rPr>
                <w:sz w:val="20"/>
                <w:szCs w:val="20"/>
                <w:lang w:eastAsia="sk-SK"/>
              </w:rPr>
            </w:pPr>
            <w:r>
              <w:rPr>
                <w:sz w:val="20"/>
                <w:szCs w:val="20"/>
                <w:lang w:eastAsia="sk-SK"/>
              </w:rPr>
            </w:r>
          </w:p>
        </w:tc>
        <w:tc>
          <w:tcPr>
            <w:tcW w:w="2713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jc w:val="center"/>
              <w:rPr>
                <w:sz w:val="20"/>
                <w:szCs w:val="20"/>
                <w:lang w:eastAsia="sk-SK"/>
              </w:rPr>
            </w:pPr>
            <w:r>
              <w:rPr>
                <w:sz w:val="20"/>
                <w:szCs w:val="20"/>
                <w:lang w:eastAsia="sk-SK"/>
              </w:rPr>
            </w:r>
          </w:p>
        </w:tc>
      </w:tr>
      <w:tr>
        <w:trPr>
          <w:trHeight w:val="264" w:hRule="atLeast"/>
        </w:trPr>
        <w:tc>
          <w:tcPr>
            <w:tcW w:w="23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rPr>
                <w:sz w:val="20"/>
                <w:szCs w:val="20"/>
                <w:lang w:eastAsia="sk-SK"/>
              </w:rPr>
            </w:pPr>
            <w:r>
              <w:rPr>
                <w:sz w:val="20"/>
                <w:szCs w:val="20"/>
                <w:lang w:eastAsia="sk-SK"/>
              </w:rPr>
            </w:r>
          </w:p>
        </w:tc>
        <w:tc>
          <w:tcPr>
            <w:tcW w:w="271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jc w:val="center"/>
              <w:rPr>
                <w:sz w:val="20"/>
                <w:szCs w:val="20"/>
                <w:lang w:eastAsia="sk-SK"/>
              </w:rPr>
            </w:pPr>
            <w:r>
              <w:rPr>
                <w:sz w:val="20"/>
                <w:szCs w:val="20"/>
                <w:lang w:eastAsia="sk-SK"/>
              </w:rPr>
            </w:r>
          </w:p>
        </w:tc>
        <w:tc>
          <w:tcPr>
            <w:tcW w:w="2713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jc w:val="center"/>
              <w:rPr>
                <w:sz w:val="20"/>
                <w:szCs w:val="20"/>
                <w:lang w:eastAsia="sk-SK"/>
              </w:rPr>
            </w:pPr>
            <w:r>
              <w:rPr>
                <w:sz w:val="20"/>
                <w:szCs w:val="20"/>
                <w:lang w:eastAsia="sk-SK"/>
              </w:rPr>
            </w:r>
          </w:p>
        </w:tc>
      </w:tr>
      <w:tr>
        <w:trPr>
          <w:trHeight w:val="264" w:hRule="atLeast"/>
        </w:trPr>
        <w:tc>
          <w:tcPr>
            <w:tcW w:w="23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rPr>
                <w:sz w:val="20"/>
                <w:szCs w:val="20"/>
                <w:lang w:eastAsia="sk-SK"/>
              </w:rPr>
            </w:pPr>
            <w:r>
              <w:rPr>
                <w:sz w:val="20"/>
                <w:szCs w:val="20"/>
                <w:lang w:eastAsia="sk-SK"/>
              </w:rPr>
            </w:r>
          </w:p>
        </w:tc>
        <w:tc>
          <w:tcPr>
            <w:tcW w:w="271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jc w:val="center"/>
              <w:rPr>
                <w:sz w:val="20"/>
                <w:szCs w:val="20"/>
                <w:lang w:eastAsia="sk-SK"/>
              </w:rPr>
            </w:pPr>
            <w:r>
              <w:rPr>
                <w:sz w:val="20"/>
                <w:szCs w:val="20"/>
                <w:lang w:eastAsia="sk-SK"/>
              </w:rPr>
            </w:r>
          </w:p>
        </w:tc>
        <w:tc>
          <w:tcPr>
            <w:tcW w:w="2713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jc w:val="center"/>
              <w:rPr>
                <w:sz w:val="20"/>
                <w:szCs w:val="20"/>
                <w:lang w:eastAsia="sk-SK"/>
              </w:rPr>
            </w:pPr>
            <w:r>
              <w:rPr>
                <w:sz w:val="20"/>
                <w:szCs w:val="20"/>
                <w:lang w:eastAsia="sk-SK"/>
              </w:rPr>
            </w:r>
          </w:p>
        </w:tc>
      </w:tr>
      <w:tr>
        <w:trPr>
          <w:trHeight w:val="264" w:hRule="atLeast"/>
        </w:trPr>
        <w:tc>
          <w:tcPr>
            <w:tcW w:w="23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rPr>
                <w:sz w:val="20"/>
                <w:szCs w:val="20"/>
                <w:lang w:eastAsia="sk-SK"/>
              </w:rPr>
            </w:pPr>
            <w:r>
              <w:rPr>
                <w:sz w:val="20"/>
                <w:szCs w:val="20"/>
                <w:lang w:eastAsia="sk-SK"/>
              </w:rPr>
            </w:r>
          </w:p>
        </w:tc>
        <w:tc>
          <w:tcPr>
            <w:tcW w:w="271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jc w:val="center"/>
              <w:rPr>
                <w:sz w:val="20"/>
                <w:szCs w:val="20"/>
                <w:lang w:eastAsia="sk-SK"/>
              </w:rPr>
            </w:pPr>
            <w:r>
              <w:rPr>
                <w:sz w:val="20"/>
                <w:szCs w:val="20"/>
                <w:lang w:eastAsia="sk-SK"/>
              </w:rPr>
            </w:r>
          </w:p>
        </w:tc>
        <w:tc>
          <w:tcPr>
            <w:tcW w:w="2713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jc w:val="center"/>
              <w:rPr>
                <w:sz w:val="20"/>
                <w:szCs w:val="20"/>
                <w:lang w:eastAsia="sk-SK"/>
              </w:rPr>
            </w:pPr>
            <w:r>
              <w:rPr>
                <w:sz w:val="20"/>
                <w:szCs w:val="20"/>
                <w:lang w:eastAsia="sk-SK"/>
              </w:rPr>
            </w:r>
          </w:p>
        </w:tc>
      </w:tr>
      <w:tr>
        <w:trPr>
          <w:trHeight w:val="264" w:hRule="atLeast"/>
        </w:trPr>
        <w:tc>
          <w:tcPr>
            <w:tcW w:w="23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rPr>
                <w:sz w:val="20"/>
                <w:szCs w:val="20"/>
                <w:lang w:eastAsia="sk-SK"/>
              </w:rPr>
            </w:pPr>
            <w:r>
              <w:rPr>
                <w:sz w:val="20"/>
                <w:szCs w:val="20"/>
                <w:lang w:eastAsia="sk-SK"/>
              </w:rPr>
            </w:r>
          </w:p>
        </w:tc>
        <w:tc>
          <w:tcPr>
            <w:tcW w:w="271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jc w:val="center"/>
              <w:rPr>
                <w:sz w:val="20"/>
                <w:szCs w:val="20"/>
                <w:lang w:eastAsia="sk-SK"/>
              </w:rPr>
            </w:pPr>
            <w:r>
              <w:rPr>
                <w:sz w:val="20"/>
                <w:szCs w:val="20"/>
                <w:lang w:eastAsia="sk-SK"/>
              </w:rPr>
            </w:r>
          </w:p>
        </w:tc>
        <w:tc>
          <w:tcPr>
            <w:tcW w:w="2713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jc w:val="center"/>
              <w:rPr>
                <w:sz w:val="20"/>
                <w:szCs w:val="20"/>
                <w:lang w:eastAsia="sk-SK"/>
              </w:rPr>
            </w:pPr>
            <w:r>
              <w:rPr>
                <w:sz w:val="20"/>
                <w:szCs w:val="20"/>
                <w:lang w:eastAsia="sk-SK"/>
              </w:rPr>
            </w:r>
          </w:p>
        </w:tc>
      </w:tr>
      <w:tr>
        <w:trPr>
          <w:trHeight w:val="264" w:hRule="atLeast"/>
        </w:trPr>
        <w:tc>
          <w:tcPr>
            <w:tcW w:w="23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rPr>
                <w:sz w:val="20"/>
                <w:szCs w:val="20"/>
                <w:lang w:eastAsia="sk-SK"/>
              </w:rPr>
            </w:pPr>
            <w:r>
              <w:rPr>
                <w:sz w:val="20"/>
                <w:szCs w:val="20"/>
                <w:lang w:eastAsia="sk-SK"/>
              </w:rPr>
            </w:r>
          </w:p>
        </w:tc>
        <w:tc>
          <w:tcPr>
            <w:tcW w:w="271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jc w:val="center"/>
              <w:rPr>
                <w:sz w:val="20"/>
                <w:szCs w:val="20"/>
                <w:lang w:eastAsia="sk-SK"/>
              </w:rPr>
            </w:pPr>
            <w:r>
              <w:rPr>
                <w:sz w:val="20"/>
                <w:szCs w:val="20"/>
                <w:lang w:eastAsia="sk-SK"/>
              </w:rPr>
            </w:r>
          </w:p>
        </w:tc>
        <w:tc>
          <w:tcPr>
            <w:tcW w:w="2713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jc w:val="center"/>
              <w:rPr>
                <w:sz w:val="20"/>
                <w:szCs w:val="20"/>
                <w:lang w:eastAsia="sk-SK"/>
              </w:rPr>
            </w:pPr>
            <w:r>
              <w:rPr>
                <w:sz w:val="20"/>
                <w:szCs w:val="20"/>
                <w:lang w:eastAsia="sk-SK"/>
              </w:rPr>
            </w:r>
          </w:p>
        </w:tc>
      </w:tr>
      <w:tr>
        <w:trPr>
          <w:trHeight w:val="264" w:hRule="atLeast"/>
        </w:trPr>
        <w:tc>
          <w:tcPr>
            <w:tcW w:w="23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rPr>
                <w:sz w:val="20"/>
                <w:szCs w:val="20"/>
                <w:lang w:eastAsia="sk-SK"/>
              </w:rPr>
            </w:pPr>
            <w:r>
              <w:rPr>
                <w:sz w:val="20"/>
                <w:szCs w:val="20"/>
                <w:lang w:eastAsia="sk-SK"/>
              </w:rPr>
            </w:r>
          </w:p>
        </w:tc>
        <w:tc>
          <w:tcPr>
            <w:tcW w:w="271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jc w:val="center"/>
              <w:rPr>
                <w:sz w:val="20"/>
                <w:szCs w:val="20"/>
                <w:lang w:eastAsia="sk-SK"/>
              </w:rPr>
            </w:pPr>
            <w:r>
              <w:rPr>
                <w:sz w:val="20"/>
                <w:szCs w:val="20"/>
                <w:lang w:eastAsia="sk-SK"/>
              </w:rPr>
            </w:r>
          </w:p>
        </w:tc>
        <w:tc>
          <w:tcPr>
            <w:tcW w:w="2713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jc w:val="center"/>
              <w:rPr>
                <w:sz w:val="20"/>
                <w:szCs w:val="20"/>
                <w:lang w:eastAsia="sk-SK"/>
              </w:rPr>
            </w:pPr>
            <w:r>
              <w:rPr>
                <w:sz w:val="20"/>
                <w:szCs w:val="20"/>
                <w:lang w:eastAsia="sk-SK"/>
              </w:rPr>
            </w:r>
          </w:p>
        </w:tc>
      </w:tr>
      <w:tr>
        <w:trPr>
          <w:trHeight w:val="264" w:hRule="atLeast"/>
        </w:trPr>
        <w:tc>
          <w:tcPr>
            <w:tcW w:w="23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rPr>
                <w:sz w:val="20"/>
                <w:szCs w:val="20"/>
                <w:lang w:eastAsia="sk-SK"/>
              </w:rPr>
            </w:pPr>
            <w:r>
              <w:rPr>
                <w:sz w:val="20"/>
                <w:szCs w:val="20"/>
                <w:lang w:eastAsia="sk-SK"/>
              </w:rPr>
            </w:r>
          </w:p>
        </w:tc>
        <w:tc>
          <w:tcPr>
            <w:tcW w:w="271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jc w:val="center"/>
              <w:rPr>
                <w:sz w:val="20"/>
                <w:szCs w:val="20"/>
                <w:lang w:eastAsia="sk-SK"/>
              </w:rPr>
            </w:pPr>
            <w:r>
              <w:rPr>
                <w:sz w:val="20"/>
                <w:szCs w:val="20"/>
                <w:lang w:eastAsia="sk-SK"/>
              </w:rPr>
            </w:r>
          </w:p>
        </w:tc>
        <w:tc>
          <w:tcPr>
            <w:tcW w:w="2713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jc w:val="center"/>
              <w:rPr>
                <w:sz w:val="20"/>
                <w:szCs w:val="20"/>
                <w:lang w:eastAsia="sk-SK"/>
              </w:rPr>
            </w:pPr>
            <w:r>
              <w:rPr>
                <w:sz w:val="20"/>
                <w:szCs w:val="20"/>
                <w:lang w:eastAsia="sk-SK"/>
              </w:rPr>
            </w:r>
          </w:p>
        </w:tc>
      </w:tr>
      <w:tr>
        <w:trPr>
          <w:trHeight w:val="264" w:hRule="atLeast"/>
        </w:trPr>
        <w:tc>
          <w:tcPr>
            <w:tcW w:w="23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rPr>
                <w:sz w:val="20"/>
                <w:szCs w:val="20"/>
                <w:lang w:eastAsia="sk-SK"/>
              </w:rPr>
            </w:pPr>
            <w:r>
              <w:rPr>
                <w:sz w:val="20"/>
                <w:szCs w:val="20"/>
                <w:lang w:eastAsia="sk-SK"/>
              </w:rPr>
            </w:r>
          </w:p>
        </w:tc>
        <w:tc>
          <w:tcPr>
            <w:tcW w:w="271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jc w:val="center"/>
              <w:rPr>
                <w:sz w:val="20"/>
                <w:szCs w:val="20"/>
                <w:lang w:eastAsia="sk-SK"/>
              </w:rPr>
            </w:pPr>
            <w:r>
              <w:rPr>
                <w:sz w:val="20"/>
                <w:szCs w:val="20"/>
                <w:lang w:eastAsia="sk-SK"/>
              </w:rPr>
            </w:r>
          </w:p>
        </w:tc>
        <w:tc>
          <w:tcPr>
            <w:tcW w:w="2713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jc w:val="center"/>
              <w:rPr>
                <w:sz w:val="20"/>
                <w:szCs w:val="20"/>
                <w:lang w:eastAsia="sk-SK"/>
              </w:rPr>
            </w:pPr>
            <w:r>
              <w:rPr>
                <w:sz w:val="20"/>
                <w:szCs w:val="20"/>
                <w:lang w:eastAsia="sk-SK"/>
              </w:rPr>
            </w:r>
          </w:p>
        </w:tc>
      </w:tr>
      <w:tr>
        <w:trPr>
          <w:trHeight w:val="264" w:hRule="atLeast"/>
        </w:trPr>
        <w:tc>
          <w:tcPr>
            <w:tcW w:w="23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rPr>
                <w:sz w:val="20"/>
                <w:szCs w:val="20"/>
                <w:lang w:eastAsia="sk-SK"/>
              </w:rPr>
            </w:pPr>
            <w:r>
              <w:rPr>
                <w:sz w:val="20"/>
                <w:szCs w:val="20"/>
                <w:lang w:eastAsia="sk-SK"/>
              </w:rPr>
            </w:r>
          </w:p>
        </w:tc>
        <w:tc>
          <w:tcPr>
            <w:tcW w:w="271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jc w:val="center"/>
              <w:rPr>
                <w:sz w:val="20"/>
                <w:szCs w:val="20"/>
                <w:lang w:eastAsia="sk-SK"/>
              </w:rPr>
            </w:pPr>
            <w:r>
              <w:rPr>
                <w:sz w:val="20"/>
                <w:szCs w:val="20"/>
                <w:lang w:eastAsia="sk-SK"/>
              </w:rPr>
            </w:r>
          </w:p>
        </w:tc>
        <w:tc>
          <w:tcPr>
            <w:tcW w:w="2713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jc w:val="center"/>
              <w:rPr>
                <w:sz w:val="20"/>
                <w:szCs w:val="20"/>
                <w:lang w:eastAsia="sk-SK"/>
              </w:rPr>
            </w:pPr>
            <w:r>
              <w:rPr>
                <w:sz w:val="20"/>
                <w:szCs w:val="20"/>
                <w:lang w:eastAsia="sk-SK"/>
              </w:rPr>
            </w:r>
          </w:p>
        </w:tc>
      </w:tr>
      <w:tr>
        <w:trPr>
          <w:trHeight w:val="264" w:hRule="atLeast"/>
        </w:trPr>
        <w:tc>
          <w:tcPr>
            <w:tcW w:w="23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rPr>
                <w:sz w:val="20"/>
                <w:szCs w:val="20"/>
                <w:lang w:eastAsia="sk-SK"/>
              </w:rPr>
            </w:pPr>
            <w:r>
              <w:rPr>
                <w:sz w:val="20"/>
                <w:szCs w:val="20"/>
                <w:lang w:eastAsia="sk-SK"/>
              </w:rPr>
            </w:r>
          </w:p>
        </w:tc>
        <w:tc>
          <w:tcPr>
            <w:tcW w:w="271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jc w:val="center"/>
              <w:rPr>
                <w:sz w:val="20"/>
                <w:szCs w:val="20"/>
                <w:lang w:eastAsia="sk-SK"/>
              </w:rPr>
            </w:pPr>
            <w:r>
              <w:rPr>
                <w:sz w:val="20"/>
                <w:szCs w:val="20"/>
                <w:lang w:eastAsia="sk-SK"/>
              </w:rPr>
            </w:r>
          </w:p>
        </w:tc>
        <w:tc>
          <w:tcPr>
            <w:tcW w:w="2713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jc w:val="center"/>
              <w:rPr>
                <w:sz w:val="20"/>
                <w:szCs w:val="20"/>
                <w:lang w:eastAsia="sk-SK"/>
              </w:rPr>
            </w:pPr>
            <w:r>
              <w:rPr>
                <w:sz w:val="20"/>
                <w:szCs w:val="20"/>
                <w:lang w:eastAsia="sk-SK"/>
              </w:rPr>
            </w:r>
          </w:p>
        </w:tc>
      </w:tr>
      <w:tr>
        <w:trPr>
          <w:trHeight w:val="312" w:hRule="atLeast"/>
        </w:trPr>
        <w:tc>
          <w:tcPr>
            <w:tcW w:w="23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rPr>
                <w:b/>
                <w:b/>
                <w:sz w:val="20"/>
                <w:szCs w:val="20"/>
                <w:lang w:eastAsia="sk-SK"/>
              </w:rPr>
            </w:pPr>
            <w:r>
              <w:rPr>
                <w:b/>
                <w:sz w:val="20"/>
                <w:szCs w:val="20"/>
                <w:lang w:eastAsia="sk-SK"/>
              </w:rPr>
              <w:t>Spolu pohľadávky k 31.12.2025</w:t>
            </w:r>
          </w:p>
        </w:tc>
        <w:tc>
          <w:tcPr>
            <w:tcW w:w="271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auto"/>
                <w:kern w:val="0"/>
                <w:sz w:val="20"/>
                <w:szCs w:val="20"/>
                <w:lang w:val="sk-SK" w:eastAsia="sk-SK" w:bidi="ar-SA"/>
              </w:rPr>
            </w:pPr>
            <w:r>
              <w:rPr>
                <w:rFonts w:eastAsia="Times New Roman" w:cs="Times New Roman"/>
                <w:b/>
                <w:bCs/>
                <w:color w:val="auto"/>
                <w:kern w:val="0"/>
                <w:sz w:val="20"/>
                <w:szCs w:val="20"/>
                <w:lang w:val="sk-SK" w:eastAsia="sk-SK" w:bidi="ar-SA"/>
              </w:rPr>
              <w:t>616,51</w:t>
            </w:r>
          </w:p>
        </w:tc>
        <w:tc>
          <w:tcPr>
            <w:tcW w:w="2713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false"/>
              <w:jc w:val="center"/>
              <w:rPr>
                <w:b/>
                <w:b/>
                <w:bCs/>
                <w:sz w:val="20"/>
                <w:szCs w:val="20"/>
                <w:lang w:eastAsia="sk-SK"/>
              </w:rPr>
            </w:pPr>
            <w:r>
              <w:rPr>
                <w:b/>
                <w:bCs/>
                <w:sz w:val="20"/>
                <w:szCs w:val="20"/>
                <w:lang w:eastAsia="sk-SK"/>
              </w:rPr>
            </w:r>
          </w:p>
        </w:tc>
      </w:tr>
    </w:tbl>
    <w:p>
      <w:pPr>
        <w:pStyle w:val="Normal"/>
        <w:jc w:val="both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rPr>
          <w:b/>
          <w:b/>
          <w:bCs/>
          <w:i/>
          <w:i/>
        </w:rPr>
      </w:pPr>
      <w:r>
        <w:rPr>
          <w:b/>
          <w:bCs/>
          <w:i/>
        </w:rPr>
        <w:t>Obežný finančný majetok</w:t>
      </w:r>
    </w:p>
    <w:tbl>
      <w:tblPr>
        <w:tblW w:w="7158" w:type="dxa"/>
        <w:jc w:val="left"/>
        <w:tblInd w:w="151" w:type="dxa"/>
        <w:tblLayout w:type="fixed"/>
        <w:tblCellMar>
          <w:top w:w="0" w:type="dxa"/>
          <w:left w:w="70" w:type="dxa"/>
          <w:bottom w:w="0" w:type="dxa"/>
          <w:right w:w="70" w:type="dxa"/>
        </w:tblCellMar>
        <w:tblLook w:firstRow="0" w:noVBand="0" w:lastRow="0" w:firstColumn="0" w:lastColumn="0" w:noHBand="0" w:val="0000"/>
      </w:tblPr>
      <w:tblGrid>
        <w:gridCol w:w="5881"/>
        <w:gridCol w:w="1276"/>
      </w:tblGrid>
      <w:tr>
        <w:trPr>
          <w:trHeight w:val="362" w:hRule="atLeast"/>
        </w:trPr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themeFill="background1" w:themeFillShade="d9" w:val="clear"/>
            <w:vAlign w:val="bottom"/>
          </w:tcPr>
          <w:p>
            <w:pPr>
              <w:pStyle w:val="Normal"/>
              <w:widowControl w:val="false"/>
              <w:rPr>
                <w:b/>
                <w:b/>
                <w:bCs/>
              </w:rPr>
            </w:pPr>
            <w:r>
              <w:rPr>
                <w:b/>
                <w:bCs/>
              </w:rPr>
              <w:t>Účet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themeFill="background1" w:themeFillShade="d9" w:val="clear"/>
            <w:vAlign w:val="bottom"/>
          </w:tcPr>
          <w:p>
            <w:pPr>
              <w:pStyle w:val="Normal"/>
              <w:widowControl w:val="false"/>
              <w:rPr>
                <w:b/>
                <w:b/>
                <w:bCs/>
              </w:rPr>
            </w:pPr>
            <w:r>
              <w:rPr>
                <w:b/>
                <w:bCs/>
              </w:rPr>
              <w:t>Suma v €</w:t>
            </w:r>
          </w:p>
        </w:tc>
      </w:tr>
      <w:tr>
        <w:trPr/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rPr>
                <w:b/>
                <w:b/>
              </w:rPr>
            </w:pPr>
            <w:r>
              <w:rPr>
                <w:b/>
              </w:rPr>
              <w:t>211 -  pokladnica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jc w:val="right"/>
              <w:rPr>
                <w:rFonts w:ascii="Times New Roman" w:hAnsi="Times New Roman" w:eastAsia="Times New Roman" w:cs="Times New Roman"/>
                <w:b/>
                <w:b/>
                <w:color w:val="auto"/>
                <w:kern w:val="0"/>
                <w:sz w:val="24"/>
                <w:szCs w:val="24"/>
                <w:lang w:val="sk-SK" w:eastAsia="cs-CZ" w:bidi="ar-SA"/>
              </w:rPr>
            </w:pPr>
            <w:r>
              <w:rPr>
                <w:rFonts w:eastAsia="Times New Roman" w:cs="Times New Roman"/>
                <w:b/>
                <w:color w:val="auto"/>
                <w:kern w:val="0"/>
                <w:sz w:val="24"/>
                <w:szCs w:val="24"/>
                <w:lang w:val="sk-SK" w:eastAsia="cs-CZ" w:bidi="ar-SA"/>
              </w:rPr>
              <w:t>1 532,72</w:t>
            </w:r>
          </w:p>
        </w:tc>
      </w:tr>
      <w:tr>
        <w:trPr>
          <w:trHeight w:val="302" w:hRule="atLeast"/>
        </w:trPr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rPr>
                <w:b/>
                <w:b/>
              </w:rPr>
            </w:pPr>
            <w:r>
              <w:rPr>
                <w:b/>
              </w:rPr>
              <w:t>213 – ceniny, stravné lístky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0</w:t>
            </w:r>
          </w:p>
        </w:tc>
      </w:tr>
      <w:tr>
        <w:trPr>
          <w:trHeight w:val="420" w:hRule="atLeast"/>
        </w:trPr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rPr>
                <w:b/>
                <w:b/>
              </w:rPr>
            </w:pPr>
            <w:r>
              <w:rPr>
                <w:b/>
              </w:rPr>
              <w:t>221 -  Základný bežný účet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jc w:val="right"/>
              <w:rPr>
                <w:b/>
                <w:b/>
              </w:rPr>
            </w:pPr>
            <w:r>
              <w:rPr>
                <w:b/>
              </w:rPr>
            </w:r>
          </w:p>
        </w:tc>
      </w:tr>
      <w:tr>
        <w:trPr>
          <w:trHeight w:val="360" w:hRule="atLeast"/>
        </w:trPr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ListParagraph"/>
              <w:widowControl w:val="false"/>
              <w:numPr>
                <w:ilvl w:val="0"/>
                <w:numId w:val="10"/>
              </w:numPr>
              <w:spacing w:lineRule="auto" w:line="240" w:before="0" w:after="0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SLSP, a. s.  č. ú.: SK50 0900 0000 0050 3448 8641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12 </w:t>
            </w:r>
            <w:r>
              <w:rPr>
                <w:rFonts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  <w:t>441,22</w:t>
            </w:r>
          </w:p>
        </w:tc>
      </w:tr>
      <w:tr>
        <w:trPr>
          <w:trHeight w:val="360" w:hRule="atLeast"/>
        </w:trPr>
        <w:tc>
          <w:tcPr>
            <w:tcW w:w="58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ListParagraph"/>
              <w:widowControl w:val="false"/>
              <w:numPr>
                <w:ilvl w:val="0"/>
                <w:numId w:val="10"/>
              </w:numPr>
              <w:spacing w:lineRule="auto" w:line="240" w:before="0" w:after="0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VÚB, a. s.   č. ú.: SK80 0200 0000 0000 2642 8582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10 011,80</w:t>
            </w:r>
          </w:p>
        </w:tc>
      </w:tr>
      <w:tr>
        <w:trPr>
          <w:trHeight w:val="360" w:hRule="atLeast"/>
        </w:trPr>
        <w:tc>
          <w:tcPr>
            <w:tcW w:w="58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ListParagraph"/>
              <w:widowControl w:val="false"/>
              <w:numPr>
                <w:ilvl w:val="0"/>
                <w:numId w:val="10"/>
              </w:numPr>
              <w:spacing w:lineRule="auto" w:line="240" w:before="0" w:after="0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SLSP a.s.    č. ú.: SK88 0900 0000 0051 9817 2838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24 611,45</w:t>
            </w:r>
          </w:p>
        </w:tc>
      </w:tr>
      <w:tr>
        <w:trPr/>
        <w:tc>
          <w:tcPr>
            <w:tcW w:w="5881" w:type="dxa"/>
            <w:tcBorders>
              <w:top w:val="doub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vAlign w:val="bottom"/>
          </w:tcPr>
          <w:p>
            <w:pPr>
              <w:pStyle w:val="Nadpis3"/>
              <w:widowControl w:val="false"/>
              <w:spacing w:before="240" w:after="60"/>
              <w:rPr>
                <w:rFonts w:ascii="Times New Roman" w:hAnsi="Times New Roman" w:cs="Times New Roman"/>
                <w:bCs w:val="false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 w:val="false"/>
                <w:sz w:val="24"/>
                <w:szCs w:val="24"/>
              </w:rPr>
              <w:t>Spolu bankové účty:</w:t>
            </w:r>
          </w:p>
        </w:tc>
        <w:tc>
          <w:tcPr>
            <w:tcW w:w="1276" w:type="dxa"/>
            <w:tcBorders>
              <w:top w:val="doub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jc w:val="right"/>
              <w:rPr>
                <w:b/>
                <w:b/>
              </w:rPr>
            </w:pPr>
            <w:r>
              <w:rPr>
                <w:rFonts w:eastAsia="Times New Roman" w:cs="Times New Roman"/>
                <w:b/>
                <w:color w:val="auto"/>
                <w:kern w:val="0"/>
                <w:sz w:val="24"/>
                <w:szCs w:val="24"/>
                <w:lang w:val="sk-SK" w:eastAsia="cs-CZ" w:bidi="ar-SA"/>
              </w:rPr>
              <w:t>47</w:t>
            </w:r>
            <w:r>
              <w:rPr>
                <w:b/>
              </w:rPr>
              <w:t> </w:t>
            </w:r>
            <w:r>
              <w:rPr>
                <w:rFonts w:eastAsia="Times New Roman" w:cs="Times New Roman"/>
                <w:b/>
                <w:color w:val="auto"/>
                <w:kern w:val="0"/>
                <w:sz w:val="24"/>
                <w:szCs w:val="24"/>
                <w:lang w:val="sk-SK" w:eastAsia="cs-CZ" w:bidi="ar-SA"/>
              </w:rPr>
              <w:t>064,47</w:t>
            </w:r>
          </w:p>
        </w:tc>
      </w:tr>
      <w:tr>
        <w:trPr>
          <w:trHeight w:val="202" w:hRule="atLeast"/>
        </w:trPr>
        <w:tc>
          <w:tcPr>
            <w:tcW w:w="5881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adpis3"/>
              <w:widowControl w:val="false"/>
              <w:spacing w:before="240" w:after="60"/>
              <w:rPr>
                <w:rFonts w:ascii="Times New Roman" w:hAnsi="Times New Roman" w:cs="Times New Roman"/>
                <w:bCs w:val="false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 w:val="false"/>
                <w:sz w:val="24"/>
                <w:szCs w:val="24"/>
              </w:rPr>
              <w:t>Spolu obežný finančný majetok:</w:t>
            </w:r>
          </w:p>
        </w:tc>
        <w:tc>
          <w:tcPr>
            <w:tcW w:w="1276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jc w:val="right"/>
              <w:rPr>
                <w:b/>
                <w:b/>
              </w:rPr>
            </w:pPr>
            <w:r>
              <w:rPr>
                <w:b/>
              </w:rPr>
              <w:t>48 597,19</w:t>
            </w:r>
          </w:p>
        </w:tc>
      </w:tr>
    </w:tbl>
    <w:p>
      <w:pPr>
        <w:pStyle w:val="Normal"/>
        <w:rPr>
          <w:b/>
          <w:b/>
          <w:bCs/>
          <w:i/>
          <w:i/>
        </w:rPr>
      </w:pPr>
      <w:r>
        <w:rPr>
          <w:b/>
          <w:bCs/>
          <w:i/>
        </w:rPr>
      </w:r>
    </w:p>
    <w:p>
      <w:pPr>
        <w:pStyle w:val="Normal"/>
        <w:rPr>
          <w:b/>
          <w:b/>
          <w:bCs/>
          <w:i/>
          <w:i/>
        </w:rPr>
      </w:pPr>
      <w:r>
        <w:rPr>
          <w:b/>
          <w:bCs/>
          <w:i/>
        </w:rPr>
        <w:t>Krátkodobé záväzky</w:t>
      </w:r>
    </w:p>
    <w:tbl>
      <w:tblPr>
        <w:tblW w:w="7158" w:type="dxa"/>
        <w:jc w:val="left"/>
        <w:tblInd w:w="151" w:type="dxa"/>
        <w:tblLayout w:type="fixed"/>
        <w:tblCellMar>
          <w:top w:w="0" w:type="dxa"/>
          <w:left w:w="70" w:type="dxa"/>
          <w:bottom w:w="0" w:type="dxa"/>
          <w:right w:w="70" w:type="dxa"/>
        </w:tblCellMar>
        <w:tblLook w:firstRow="0" w:noVBand="0" w:lastRow="0" w:firstColumn="0" w:lastColumn="0" w:noHBand="0" w:val="0000"/>
      </w:tblPr>
      <w:tblGrid>
        <w:gridCol w:w="5881"/>
        <w:gridCol w:w="1276"/>
      </w:tblGrid>
      <w:tr>
        <w:trPr/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Normal"/>
              <w:widowControl w:val="false"/>
              <w:rPr>
                <w:b/>
                <w:b/>
              </w:rPr>
            </w:pPr>
            <w:r>
              <w:rPr>
                <w:b/>
              </w:rPr>
              <w:t>Označenie – názov účtu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themeFill="background1" w:themeFillShade="d9" w:val="clear"/>
          </w:tcPr>
          <w:p>
            <w:pPr>
              <w:pStyle w:val="Normal"/>
              <w:widowControl w:val="false"/>
              <w:rPr>
                <w:b/>
                <w:b/>
              </w:rPr>
            </w:pPr>
            <w:r>
              <w:rPr>
                <w:b/>
              </w:rPr>
              <w:t>Suma v  €</w:t>
            </w:r>
          </w:p>
        </w:tc>
      </w:tr>
      <w:tr>
        <w:trPr/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  <w:t>321 – dodávatelia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3 254,43</w:t>
            </w:r>
          </w:p>
        </w:tc>
      </w:tr>
      <w:tr>
        <w:trPr/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  <w:t>331- Zamestnanci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10 403,57</w:t>
            </w:r>
          </w:p>
        </w:tc>
      </w:tr>
      <w:tr>
        <w:trPr/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  <w:t>336- zúčtovanie s inštitúciami soc. zabezpečenia a zdrav.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6 491,63</w:t>
            </w:r>
          </w:p>
        </w:tc>
      </w:tr>
      <w:tr>
        <w:trPr/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  <w:t>342- daň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1 553,04</w:t>
            </w:r>
          </w:p>
        </w:tc>
      </w:tr>
      <w:tr>
        <w:trPr/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  <w:t>379 - Iné záväzky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>
                <w:rFonts w:ascii="Times New Roman" w:hAnsi="Times New Roman"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</w:pPr>
            <w:r>
              <w:rPr>
                <w:rFonts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  <w:t>658,00</w:t>
            </w:r>
          </w:p>
        </w:tc>
      </w:tr>
      <w:tr>
        <w:trPr/>
        <w:tc>
          <w:tcPr>
            <w:tcW w:w="5881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  <w:b/>
              </w:rPr>
            </w:pPr>
            <w:r>
              <w:rPr>
                <w:b/>
              </w:rPr>
              <w:t>Spolu:</w:t>
            </w:r>
          </w:p>
        </w:tc>
        <w:tc>
          <w:tcPr>
            <w:tcW w:w="1276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>
                <w:b/>
                <w:b/>
              </w:rPr>
            </w:pPr>
            <w:r>
              <w:rPr>
                <w:b/>
              </w:rPr>
              <w:t>22 360,67</w:t>
            </w:r>
          </w:p>
        </w:tc>
      </w:tr>
    </w:tbl>
    <w:p>
      <w:pPr>
        <w:pStyle w:val="Normal"/>
        <w:rPr>
          <w:b/>
          <w:b/>
          <w:i/>
          <w:i/>
        </w:rPr>
      </w:pPr>
      <w:r>
        <w:rPr>
          <w:b/>
          <w:i/>
        </w:rPr>
      </w:r>
    </w:p>
    <w:p>
      <w:pPr>
        <w:pStyle w:val="Normal"/>
        <w:rPr>
          <w:b/>
          <w:b/>
          <w:i/>
          <w:i/>
        </w:rPr>
      </w:pPr>
      <w:r>
        <w:rPr>
          <w:b/>
          <w:i/>
        </w:rPr>
        <w:t>321 – Zoznam neuhradených faktúr k 31.12.2025</w:t>
      </w:r>
    </w:p>
    <w:tbl>
      <w:tblPr>
        <w:tblW w:w="7044" w:type="dxa"/>
        <w:jc w:val="left"/>
        <w:tblInd w:w="226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5693"/>
        <w:gridCol w:w="1350"/>
      </w:tblGrid>
      <w:tr>
        <w:trPr>
          <w:trHeight w:val="306" w:hRule="atLeast"/>
        </w:trPr>
        <w:tc>
          <w:tcPr>
            <w:tcW w:w="5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/>
              </w:rPr>
            </w:pPr>
            <w:r>
              <w:rPr>
                <w:b/>
              </w:rPr>
            </w:r>
          </w:p>
          <w:p>
            <w:pPr>
              <w:pStyle w:val="Normal"/>
              <w:widowControl w:val="false"/>
              <w:jc w:val="center"/>
              <w:rPr>
                <w:b/>
                <w:b/>
              </w:rPr>
            </w:pPr>
            <w:r>
              <w:rPr>
                <w:b/>
              </w:rPr>
              <w:t>Dodátvateľ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/>
              </w:rPr>
            </w:pPr>
            <w:r>
              <w:rPr>
                <w:b/>
              </w:rPr>
              <w:t>Čiastka s DPH</w:t>
            </w:r>
          </w:p>
        </w:tc>
      </w:tr>
      <w:tr>
        <w:trPr>
          <w:trHeight w:val="306" w:hRule="atLeast"/>
        </w:trPr>
        <w:tc>
          <w:tcPr>
            <w:tcW w:w="5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  <w:t>FRP Services, s.r.o.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>
                <w:rFonts w:ascii="Times New Roman" w:hAnsi="Times New Roman"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</w:pPr>
            <w:r>
              <w:rPr>
                <w:rFonts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  <w:t>15,99</w:t>
            </w:r>
          </w:p>
        </w:tc>
      </w:tr>
      <w:tr>
        <w:trPr>
          <w:trHeight w:val="289" w:hRule="atLeast"/>
        </w:trPr>
        <w:tc>
          <w:tcPr>
            <w:tcW w:w="5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  <w:t>Slovak Telekom Bratislava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>
                <w:rFonts w:ascii="Times New Roman" w:hAnsi="Times New Roman"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</w:pPr>
            <w:r>
              <w:rPr>
                <w:rFonts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  <w:t>9,06</w:t>
            </w:r>
          </w:p>
        </w:tc>
      </w:tr>
      <w:tr>
        <w:trPr>
          <w:trHeight w:val="289" w:hRule="atLeast"/>
        </w:trPr>
        <w:tc>
          <w:tcPr>
            <w:tcW w:w="5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  <w:t>Slovak Telekom Bratislava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>
                <w:rFonts w:ascii="Times New Roman" w:hAnsi="Times New Roman"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</w:pPr>
            <w:r>
              <w:rPr>
                <w:rFonts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  <w:t>67,92</w:t>
            </w:r>
          </w:p>
        </w:tc>
      </w:tr>
      <w:tr>
        <w:trPr>
          <w:trHeight w:val="289" w:hRule="atLeast"/>
        </w:trPr>
        <w:tc>
          <w:tcPr>
            <w:tcW w:w="5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Times New Roman" w:hAnsi="Times New Roman"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</w:pPr>
            <w:r>
              <w:rPr>
                <w:rFonts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  <w:t>VSE a. s. Košice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>
                <w:rFonts w:ascii="Times New Roman" w:hAnsi="Times New Roman"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</w:pPr>
            <w:r>
              <w:rPr>
                <w:rFonts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  <w:t>27,60</w:t>
            </w:r>
          </w:p>
        </w:tc>
      </w:tr>
      <w:tr>
        <w:trPr>
          <w:trHeight w:val="289" w:hRule="atLeast"/>
        </w:trPr>
        <w:tc>
          <w:tcPr>
            <w:tcW w:w="5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  <w:t>VSE a. s. Košice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>
                <w:rFonts w:ascii="Times New Roman" w:hAnsi="Times New Roman"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</w:pPr>
            <w:r>
              <w:rPr>
                <w:rFonts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  <w:t>452,00</w:t>
            </w:r>
          </w:p>
        </w:tc>
      </w:tr>
      <w:tr>
        <w:trPr>
          <w:trHeight w:val="289" w:hRule="atLeast"/>
        </w:trPr>
        <w:tc>
          <w:tcPr>
            <w:tcW w:w="5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  <w:t>GEMER SERVIS, s.r.o.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>
                <w:rFonts w:ascii="Times New Roman" w:hAnsi="Times New Roman"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</w:pPr>
            <w:r>
              <w:rPr>
                <w:rFonts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  <w:t>360,00</w:t>
            </w:r>
          </w:p>
        </w:tc>
      </w:tr>
      <w:tr>
        <w:trPr>
          <w:trHeight w:val="289" w:hRule="atLeast"/>
        </w:trPr>
        <w:tc>
          <w:tcPr>
            <w:tcW w:w="5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  <w:t>Slovak Telekom a. s. Bratislava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>
                <w:rFonts w:ascii="Times New Roman" w:hAnsi="Times New Roman"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</w:pPr>
            <w:r>
              <w:rPr>
                <w:rFonts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  <w:t>77,44</w:t>
            </w:r>
          </w:p>
        </w:tc>
      </w:tr>
      <w:tr>
        <w:trPr>
          <w:trHeight w:val="289" w:hRule="atLeast"/>
        </w:trPr>
        <w:tc>
          <w:tcPr>
            <w:tcW w:w="5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  <w:t>VSE a.s. Košice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>
                <w:rFonts w:ascii="Times New Roman" w:hAnsi="Times New Roman"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</w:pPr>
            <w:r>
              <w:rPr>
                <w:rFonts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  <w:t>423,03</w:t>
            </w:r>
          </w:p>
        </w:tc>
      </w:tr>
      <w:tr>
        <w:trPr>
          <w:trHeight w:val="289" w:hRule="atLeast"/>
        </w:trPr>
        <w:tc>
          <w:tcPr>
            <w:tcW w:w="5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  <w:t>VSE a.s. Košice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>
                <w:rFonts w:ascii="Times New Roman" w:hAnsi="Times New Roman"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</w:pPr>
            <w:r>
              <w:rPr>
                <w:rFonts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  <w:t>20,11</w:t>
            </w:r>
          </w:p>
        </w:tc>
      </w:tr>
      <w:tr>
        <w:trPr>
          <w:trHeight w:val="289" w:hRule="atLeast"/>
        </w:trPr>
        <w:tc>
          <w:tcPr>
            <w:tcW w:w="5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  <w:t>Prima Banka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>
                <w:rFonts w:ascii="Times New Roman" w:hAnsi="Times New Roman"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</w:pPr>
            <w:r>
              <w:rPr>
                <w:rFonts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  <w:t>61,64</w:t>
            </w:r>
          </w:p>
        </w:tc>
      </w:tr>
      <w:tr>
        <w:trPr>
          <w:trHeight w:val="289" w:hRule="atLeast"/>
        </w:trPr>
        <w:tc>
          <w:tcPr>
            <w:tcW w:w="56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  <w:t>Brantner Gemer s.r.o.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>
                <w:rFonts w:ascii="Times New Roman" w:hAnsi="Times New Roman"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</w:pPr>
            <w:r>
              <w:rPr>
                <w:rFonts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  <w:t>1 690,46</w:t>
            </w:r>
          </w:p>
        </w:tc>
      </w:tr>
      <w:tr>
        <w:trPr>
          <w:trHeight w:val="289" w:hRule="atLeast"/>
        </w:trPr>
        <w:tc>
          <w:tcPr>
            <w:tcW w:w="56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  <w:t>Slovenská sporiteľňa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>
                <w:rFonts w:ascii="Times New Roman" w:hAnsi="Times New Roman"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</w:pPr>
            <w:r>
              <w:rPr>
                <w:rFonts w:eastAsia="Times New Roman" w:cs="Times New Roman"/>
                <w:color w:val="auto"/>
                <w:kern w:val="0"/>
                <w:sz w:val="24"/>
                <w:szCs w:val="24"/>
                <w:lang w:val="sk-SK" w:eastAsia="cs-CZ" w:bidi="ar-SA"/>
              </w:rPr>
              <w:t>49,18</w:t>
            </w:r>
          </w:p>
        </w:tc>
      </w:tr>
      <w:tr>
        <w:trPr>
          <w:trHeight w:val="289" w:hRule="atLeast"/>
        </w:trPr>
        <w:tc>
          <w:tcPr>
            <w:tcW w:w="5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themeFill="background1" w:themeFillShade="d9" w:val="clear"/>
          </w:tcPr>
          <w:p>
            <w:pPr>
              <w:pStyle w:val="Normal"/>
              <w:widowControl w:val="false"/>
              <w:rPr>
                <w:b/>
                <w:b/>
                <w:color w:val="000000"/>
              </w:rPr>
            </w:pPr>
            <w:r>
              <w:rPr>
                <w:b/>
                <w:color w:val="000000"/>
              </w:rPr>
              <w:t>Spolu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themeFill="background1" w:themeFillShade="d9" w:val="clear"/>
          </w:tcPr>
          <w:p>
            <w:pPr>
              <w:pStyle w:val="Normal"/>
              <w:widowControl w:val="false"/>
              <w:jc w:val="right"/>
              <w:rPr>
                <w:b/>
                <w:b/>
                <w:color w:val="000000"/>
              </w:rPr>
            </w:pPr>
            <w:r>
              <w:rPr>
                <w:b/>
                <w:color w:val="000000"/>
              </w:rPr>
              <w:t>3 254,43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>
          <w:b/>
          <w:b/>
        </w:rPr>
      </w:pPr>
      <w:r>
        <w:rPr>
          <w:b/>
        </w:rPr>
      </w:r>
      <w:r>
        <w:br w:type="page"/>
      </w:r>
    </w:p>
    <w:p>
      <w:pPr>
        <w:pStyle w:val="Normal"/>
        <w:rPr>
          <w:b/>
          <w:b/>
        </w:rPr>
      </w:pPr>
      <w:r>
        <w:rPr>
          <w:b/>
          <w:highlight w:val="lightGray"/>
        </w:rPr>
        <w:t xml:space="preserve">7. </w:t>
      </w:r>
      <w:r>
        <w:rPr>
          <w:b/>
        </w:rPr>
        <w:t>Prehľad o stave a vývoji dlhu k 31.12.2025</w:t>
      </w:r>
    </w:p>
    <w:tbl>
      <w:tblPr>
        <w:tblW w:w="8955" w:type="dxa"/>
        <w:jc w:val="left"/>
        <w:tblInd w:w="324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0" w:lastRow="1" w:firstColumn="1" w:lastColumn="1" w:noHBand="0" w:val="01e0"/>
      </w:tblPr>
      <w:tblGrid>
        <w:gridCol w:w="3350"/>
        <w:gridCol w:w="2205"/>
        <w:gridCol w:w="1771"/>
        <w:gridCol w:w="1628"/>
      </w:tblGrid>
      <w:tr>
        <w:trPr/>
        <w:tc>
          <w:tcPr>
            <w:tcW w:w="3350" w:type="dxa"/>
            <w:tcBorders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-108" w:hanging="0"/>
              <w:jc w:val="both"/>
              <w:rPr>
                <w:b/>
                <w:b/>
              </w:rPr>
            </w:pPr>
            <w:r>
              <w:rPr>
                <w:b/>
              </w:rPr>
            </w:r>
          </w:p>
          <w:p>
            <w:pPr>
              <w:pStyle w:val="Normal"/>
              <w:widowControl w:val="false"/>
              <w:ind w:left="-108" w:hanging="0"/>
              <w:jc w:val="both"/>
              <w:rPr>
                <w:b/>
                <w:b/>
              </w:rPr>
            </w:pPr>
            <w:r>
              <w:rPr>
                <w:b/>
              </w:rPr>
              <w:t>Stav záväzkov k 31.12.2025</w:t>
            </w:r>
          </w:p>
        </w:tc>
        <w:tc>
          <w:tcPr>
            <w:tcW w:w="2205" w:type="dxa"/>
            <w:tcBorders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1771" w:type="dxa"/>
            <w:tcBorders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628" w:type="dxa"/>
            <w:tcBorders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b/>
                <w:b/>
              </w:rPr>
            </w:pPr>
            <w:r>
              <w:rPr>
                <w:b/>
              </w:rPr>
            </w:r>
          </w:p>
        </w:tc>
      </w:tr>
      <w:tr>
        <w:trPr/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widowControl w:val="false"/>
              <w:jc w:val="center"/>
              <w:rPr>
                <w:b/>
                <w:b/>
                <w:sz w:val="20"/>
              </w:rPr>
            </w:pPr>
            <w:r>
              <w:rPr>
                <w:b/>
                <w:sz w:val="20"/>
              </w:rPr>
              <w:t>Druh záväzku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widowControl w:val="false"/>
              <w:jc w:val="center"/>
              <w:rPr>
                <w:b/>
                <w:b/>
                <w:sz w:val="20"/>
              </w:rPr>
            </w:pPr>
            <w:r>
              <w:rPr>
                <w:b/>
                <w:sz w:val="20"/>
              </w:rPr>
              <w:t>Záväzky celkom k 31.12.2025 v EUR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widowControl w:val="false"/>
              <w:jc w:val="center"/>
              <w:rPr>
                <w:b/>
                <w:b/>
                <w:sz w:val="20"/>
              </w:rPr>
            </w:pPr>
            <w:r>
              <w:rPr>
                <w:b/>
                <w:sz w:val="20"/>
              </w:rPr>
              <w:t>z toho v  lehote splatnosti</w:t>
            </w: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widowControl w:val="false"/>
              <w:jc w:val="center"/>
              <w:rPr>
                <w:b/>
                <w:b/>
                <w:sz w:val="20"/>
              </w:rPr>
            </w:pPr>
            <w:r>
              <w:rPr>
                <w:b/>
                <w:sz w:val="20"/>
              </w:rPr>
              <w:t>z toho po lehote splatnosti</w:t>
            </w:r>
          </w:p>
        </w:tc>
      </w:tr>
      <w:tr>
        <w:trPr/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  <w:t>Druh záväzkov voči: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>
                <w:b/>
                <w:b/>
              </w:rPr>
            </w:pPr>
            <w:r>
              <w:rPr>
                <w:b/>
              </w:rPr>
            </w:r>
          </w:p>
        </w:tc>
      </w:tr>
      <w:tr>
        <w:trPr/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1"/>
              </w:numPr>
              <w:ind w:left="318" w:hanging="142"/>
              <w:rPr/>
            </w:pPr>
            <w:r>
              <w:rPr/>
              <w:t>dodávateľom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3 254,43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3 254,43</w:t>
            </w: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</w:r>
          </w:p>
        </w:tc>
      </w:tr>
      <w:tr>
        <w:trPr/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1"/>
              </w:numPr>
              <w:ind w:left="318" w:hanging="142"/>
              <w:rPr/>
            </w:pPr>
            <w:r>
              <w:rPr/>
              <w:t>zamestnancom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10 403,57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10 403,57</w:t>
            </w: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</w:r>
          </w:p>
        </w:tc>
      </w:tr>
      <w:tr>
        <w:trPr/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1"/>
              </w:numPr>
              <w:ind w:left="318" w:hanging="142"/>
              <w:rPr/>
            </w:pPr>
            <w:r>
              <w:rPr/>
              <w:t>poisťovniam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6 491,63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6 491,63</w:t>
            </w: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</w:r>
          </w:p>
        </w:tc>
      </w:tr>
      <w:tr>
        <w:trPr/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1"/>
              </w:numPr>
              <w:ind w:left="318" w:hanging="142"/>
              <w:rPr/>
            </w:pPr>
            <w:r>
              <w:rPr/>
              <w:t>daňovému úradu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1 553,04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1 553,04</w:t>
            </w: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</w:r>
          </w:p>
        </w:tc>
      </w:tr>
      <w:tr>
        <w:trPr/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1"/>
              </w:numPr>
              <w:ind w:left="318" w:hanging="142"/>
              <w:rPr/>
            </w:pPr>
            <w:r>
              <w:rPr/>
              <w:t>štátnemu rozpočtu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</w: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</w:r>
          </w:p>
        </w:tc>
      </w:tr>
      <w:tr>
        <w:trPr/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1"/>
              </w:numPr>
              <w:ind w:left="318" w:hanging="142"/>
              <w:rPr/>
            </w:pPr>
            <w:r>
              <w:rPr/>
              <w:t>bankám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</w: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</w:r>
          </w:p>
        </w:tc>
      </w:tr>
      <w:tr>
        <w:trPr/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1"/>
              </w:numPr>
              <w:ind w:left="318" w:hanging="142"/>
              <w:rPr/>
            </w:pPr>
            <w:r>
              <w:rPr/>
              <w:t>štátnym fondom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</w: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</w:r>
          </w:p>
        </w:tc>
      </w:tr>
      <w:tr>
        <w:trPr/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1"/>
              </w:numPr>
              <w:ind w:left="318" w:hanging="142"/>
              <w:rPr/>
            </w:pPr>
            <w:r>
              <w:rPr/>
              <w:t>ostatné záväzky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658,00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658,00</w:t>
            </w: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</w:r>
          </w:p>
        </w:tc>
      </w:tr>
      <w:tr>
        <w:trPr/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widowControl w:val="false"/>
              <w:rPr/>
            </w:pPr>
            <w:r>
              <w:rPr/>
              <w:t>Záväzky spolu k 31.12.2025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widowControl w:val="false"/>
              <w:jc w:val="right"/>
              <w:rPr>
                <w:b/>
                <w:b/>
              </w:rPr>
            </w:pPr>
            <w:r>
              <w:rPr>
                <w:b/>
              </w:rPr>
              <w:t>22 360,67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widowControl w:val="false"/>
              <w:jc w:val="right"/>
              <w:rPr>
                <w:b/>
                <w:b/>
              </w:rPr>
            </w:pPr>
            <w:r>
              <w:rPr>
                <w:b/>
              </w:rPr>
              <w:t>22 360,67</w:t>
            </w: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widowControl w:val="false"/>
              <w:jc w:val="right"/>
              <w:rPr>
                <w:b/>
                <w:b/>
              </w:rPr>
            </w:pPr>
            <w:r>
              <w:rPr>
                <w:b/>
              </w:rPr>
            </w:r>
          </w:p>
        </w:tc>
      </w:tr>
    </w:tbl>
    <w:p>
      <w:pPr>
        <w:pStyle w:val="Normal"/>
        <w:ind w:left="360" w:hanging="0"/>
        <w:jc w:val="both"/>
        <w:rPr/>
      </w:pPr>
      <w:r>
        <w:rPr/>
      </w:r>
    </w:p>
    <w:p>
      <w:pPr>
        <w:pStyle w:val="Normal"/>
        <w:jc w:val="both"/>
        <w:rPr>
          <w:b/>
          <w:b/>
        </w:rPr>
      </w:pPr>
      <w:r>
        <w:rPr>
          <w:b/>
        </w:rPr>
        <w:t xml:space="preserve">   </w:t>
      </w:r>
      <w:r>
        <w:rPr>
          <w:b/>
        </w:rPr>
        <w:t>Stav úverov k 31.12.2025</w:t>
      </w:r>
    </w:p>
    <w:tbl>
      <w:tblPr>
        <w:tblW w:w="8955" w:type="dxa"/>
        <w:jc w:val="left"/>
        <w:tblInd w:w="3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0" w:lastRow="1" w:firstColumn="1" w:lastColumn="1" w:noHBand="0" w:val="01e0"/>
      </w:tblPr>
      <w:tblGrid>
        <w:gridCol w:w="1160"/>
        <w:gridCol w:w="1512"/>
        <w:gridCol w:w="1407"/>
        <w:gridCol w:w="1477"/>
        <w:gridCol w:w="1847"/>
        <w:gridCol w:w="1551"/>
      </w:tblGrid>
      <w:tr>
        <w:trPr/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widowControl w:val="false"/>
              <w:jc w:val="center"/>
              <w:rPr>
                <w:b/>
                <w:b/>
                <w:sz w:val="20"/>
              </w:rPr>
            </w:pPr>
            <w:r>
              <w:rPr>
                <w:b/>
                <w:sz w:val="20"/>
              </w:rPr>
            </w:r>
          </w:p>
          <w:p>
            <w:pPr>
              <w:pStyle w:val="Normal"/>
              <w:widowControl w:val="false"/>
              <w:jc w:val="center"/>
              <w:rPr>
                <w:b/>
                <w:b/>
                <w:sz w:val="20"/>
              </w:rPr>
            </w:pPr>
            <w:r>
              <w:rPr>
                <w:b/>
                <w:sz w:val="20"/>
              </w:rPr>
              <w:t>Veriteľ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widowControl w:val="false"/>
              <w:jc w:val="center"/>
              <w:rPr>
                <w:b/>
                <w:b/>
                <w:sz w:val="20"/>
              </w:rPr>
            </w:pPr>
            <w:r>
              <w:rPr>
                <w:b/>
                <w:sz w:val="20"/>
              </w:rPr>
            </w:r>
          </w:p>
          <w:p>
            <w:pPr>
              <w:pStyle w:val="Normal"/>
              <w:widowControl w:val="false"/>
              <w:jc w:val="center"/>
              <w:rPr>
                <w:b/>
                <w:b/>
                <w:sz w:val="20"/>
              </w:rPr>
            </w:pPr>
            <w:r>
              <w:rPr>
                <w:b/>
                <w:sz w:val="20"/>
              </w:rPr>
              <w:t>Účel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widowControl w:val="false"/>
              <w:jc w:val="center"/>
              <w:rPr>
                <w:b/>
                <w:b/>
                <w:sz w:val="20"/>
              </w:rPr>
            </w:pPr>
            <w:r>
              <w:rPr>
                <w:b/>
                <w:sz w:val="20"/>
              </w:rPr>
              <w:t>Výška poskytnutého úveru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widowControl w:val="false"/>
              <w:jc w:val="center"/>
              <w:rPr>
                <w:b/>
                <w:b/>
                <w:sz w:val="20"/>
              </w:rPr>
            </w:pPr>
            <w:r>
              <w:rPr>
                <w:b/>
                <w:sz w:val="20"/>
              </w:rPr>
              <w:t>Ročná splátka istiny</w:t>
            </w:r>
          </w:p>
          <w:p>
            <w:pPr>
              <w:pStyle w:val="Normal"/>
              <w:widowControl w:val="false"/>
              <w:jc w:val="center"/>
              <w:rPr>
                <w:b/>
                <w:b/>
                <w:sz w:val="20"/>
              </w:rPr>
            </w:pPr>
            <w:r>
              <w:rPr>
                <w:b/>
                <w:sz w:val="20"/>
              </w:rPr>
              <w:t>za rok 2025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widowControl w:val="false"/>
              <w:jc w:val="center"/>
              <w:rPr>
                <w:b/>
                <w:b/>
                <w:sz w:val="20"/>
              </w:rPr>
            </w:pPr>
            <w:r>
              <w:rPr>
                <w:b/>
                <w:sz w:val="20"/>
              </w:rPr>
              <w:t>Zostatok úveru (istiny) k 31.12.2025</w:t>
            </w: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widowControl w:val="false"/>
              <w:jc w:val="center"/>
              <w:rPr>
                <w:b/>
                <w:b/>
                <w:sz w:val="20"/>
              </w:rPr>
            </w:pPr>
            <w:r>
              <w:rPr>
                <w:b/>
                <w:sz w:val="20"/>
              </w:rPr>
              <w:t>Rok</w:t>
            </w:r>
          </w:p>
          <w:p>
            <w:pPr>
              <w:pStyle w:val="Normal"/>
              <w:widowControl w:val="false"/>
              <w:jc w:val="center"/>
              <w:rPr>
                <w:b/>
                <w:b/>
                <w:sz w:val="20"/>
              </w:rPr>
            </w:pPr>
            <w:r>
              <w:rPr>
                <w:b/>
                <w:sz w:val="20"/>
              </w:rPr>
              <w:t>splatnosti</w:t>
            </w:r>
          </w:p>
          <w:p>
            <w:pPr>
              <w:pStyle w:val="Normal"/>
              <w:widowControl w:val="false"/>
              <w:jc w:val="center"/>
              <w:rPr>
                <w:b/>
                <w:b/>
                <w:sz w:val="20"/>
              </w:rPr>
            </w:pPr>
            <w:r>
              <w:rPr>
                <w:b/>
                <w:sz w:val="20"/>
              </w:rPr>
            </w:r>
          </w:p>
        </w:tc>
      </w:tr>
      <w:tr>
        <w:trPr/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  <w:t>SLSP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  <w:t>Investičný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70 500,00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5 700,00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34 200,00</w:t>
            </w: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2031</w:t>
            </w:r>
          </w:p>
        </w:tc>
      </w:tr>
      <w:tr>
        <w:trPr/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  <w:t>SLSP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  <w:t>Investičný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40 000,00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3 999,96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32 000,08</w:t>
            </w: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/>
            </w:pPr>
            <w:r>
              <w:rPr/>
              <w:t>2033</w:t>
            </w:r>
          </w:p>
        </w:tc>
      </w:tr>
    </w:tbl>
    <w:p>
      <w:pPr>
        <w:pStyle w:val="Normal"/>
        <w:jc w:val="both"/>
        <w:rPr>
          <w:highlight w:val="yellow"/>
        </w:rPr>
      </w:pPr>
      <w:r>
        <w:rPr>
          <w:highlight w:val="yellow"/>
        </w:rPr>
      </w:r>
    </w:p>
    <w:p>
      <w:pPr>
        <w:pStyle w:val="Normal"/>
        <w:spacing w:lineRule="auto" w:line="360"/>
        <w:jc w:val="both"/>
        <w:rPr/>
      </w:pPr>
      <w:r>
        <w:rPr/>
        <w:t>Na základe úverovej zmluvy č. 207/CC/19 bol v roku 2019 obci poskytnutý úver 40 000 €, ktorý bol evidovaný na úverovom účte č. SK09 0900 0000 0051 5707 6815. V októbri 2021 bol uzavretý k tejto úverovej zmluve dodatok č. 2 (pod číslom 207/CC/19-D2), ktorým sa limit úveru navýšil na 57 000 € a obci bol na bežný účet prevedený rozdiel medzi zostatkom pôvodného úveru (16 500 €) a novým limitom (57 000 € ) t. j. suma 40 500 EUR, evidovaný na úverovom účte č. SK09 0900 0000 0051 5707 6815. Ročná istina je vo výške 5 700,00 €.</w:t>
      </w:r>
    </w:p>
    <w:p>
      <w:pPr>
        <w:pStyle w:val="Normal"/>
        <w:spacing w:lineRule="auto" w:line="360"/>
        <w:jc w:val="both"/>
        <w:rPr/>
      </w:pPr>
      <w:r>
        <w:rPr/>
        <w:t xml:space="preserve">Na základe schválenia obecného zastupiteľstva Obec Rakovnica na spolufinancovanie investičných finančných zámerov  uzavrela úverovú zmluvu č. 1094/CC/23 vedenej na čísle účtu SK50 0900 0000 0050 3448 8641 vo výške 40 000 Eur  na účel financovania kapitálových výdavkov s ročnou splátkou 3 999,96 Eur. Obec ročne spláca úvery vo výške 9 699,96 €. K 31.12.2025 máme nesplatené úvery vo výške </w:t>
      </w:r>
      <w:r>
        <w:rPr>
          <w:rFonts w:eastAsia="Times New Roman" w:cs="Times New Roman"/>
          <w:color w:val="auto"/>
          <w:kern w:val="0"/>
          <w:sz w:val="24"/>
          <w:szCs w:val="24"/>
          <w:lang w:val="sk-SK" w:eastAsia="cs-CZ" w:bidi="ar-SA"/>
        </w:rPr>
        <w:t>66</w:t>
      </w:r>
      <w:r>
        <w:rPr/>
        <w:t> 200,08  €.</w:t>
      </w:r>
    </w:p>
    <w:p>
      <w:pPr>
        <w:pStyle w:val="Normal"/>
        <w:spacing w:lineRule="auto" w:line="360"/>
        <w:jc w:val="both"/>
        <w:rPr/>
      </w:pPr>
      <w:r>
        <w:rPr/>
      </w:r>
    </w:p>
    <w:p>
      <w:pPr>
        <w:pStyle w:val="Normal"/>
        <w:spacing w:lineRule="auto" w:line="360"/>
        <w:jc w:val="both"/>
        <w:rPr/>
      </w:pPr>
      <w:r>
        <w:rPr/>
      </w:r>
    </w:p>
    <w:p>
      <w:pPr>
        <w:pStyle w:val="Normal"/>
        <w:spacing w:lineRule="auto" w:line="360"/>
        <w:jc w:val="both"/>
        <w:rPr/>
      </w:pPr>
      <w:r>
        <w:rPr/>
      </w:r>
    </w:p>
    <w:p>
      <w:pPr>
        <w:pStyle w:val="Normal"/>
        <w:spacing w:lineRule="auto" w:line="360"/>
        <w:jc w:val="both"/>
        <w:rPr/>
      </w:pPr>
      <w:r>
        <w:rPr/>
      </w:r>
    </w:p>
    <w:p>
      <w:pPr>
        <w:pStyle w:val="Normal"/>
        <w:spacing w:lineRule="auto" w:line="360"/>
        <w:jc w:val="both"/>
        <w:rPr/>
      </w:pPr>
      <w:r>
        <w:rPr/>
      </w:r>
    </w:p>
    <w:p>
      <w:pPr>
        <w:pStyle w:val="Normal"/>
        <w:spacing w:lineRule="auto" w:line="360"/>
        <w:jc w:val="both"/>
        <w:rPr>
          <w:b/>
          <w:b/>
          <w:bCs/>
        </w:rPr>
      </w:pPr>
      <w:r>
        <w:rPr>
          <w:b/>
          <w:bCs/>
        </w:rPr>
        <w:t xml:space="preserve">Dodržiavanie pravidiel používania návratných zdrojov financovania: </w:t>
      </w:r>
    </w:p>
    <w:p>
      <w:pPr>
        <w:pStyle w:val="Normal"/>
        <w:spacing w:lineRule="auto" w:line="360"/>
        <w:jc w:val="both"/>
        <w:rPr/>
      </w:pPr>
      <w:r>
        <w:rPr/>
        <w:t xml:space="preserve">Obec v zmysle ustanovenia § 17 ods. 6 zákona č.583/2004 Z.z. o rozpočtových pravidlách územnej samosprávy a o zmene a doplnení niektorých zákonov v z.n.p., môže na plnenie svojich úloh prijať návratné zdroje financovania, len ak: </w:t>
      </w:r>
    </w:p>
    <w:p>
      <w:pPr>
        <w:pStyle w:val="Normal"/>
        <w:spacing w:lineRule="auto" w:line="360"/>
        <w:jc w:val="both"/>
        <w:rPr/>
      </w:pPr>
      <w:r>
        <w:rPr/>
        <w:t xml:space="preserve">a) celková suma dlhu obce neprekročí 60% skutočných bežných príjmov predchádzajúceho rozpočtového roka a </w:t>
      </w:r>
    </w:p>
    <w:p>
      <w:pPr>
        <w:pStyle w:val="Normal"/>
        <w:spacing w:lineRule="auto" w:line="360"/>
        <w:jc w:val="both"/>
        <w:rPr>
          <w:b/>
          <w:b/>
          <w:bCs/>
        </w:rPr>
      </w:pPr>
      <w:r>
        <w:rPr/>
        <w:t>b) suma splátok návratných zdrojov financovania, vrátane úhrady výnosov a suma splátok záväzkov z investičných dodávateľských úverov neprekročí v príslušnom rozpočtovom roku 25 % skutočných bežných príjmov predchádzajúceho rozpočtového roka znížených o prostriedky poskytnuté v príslušnom rozpočtovom roku obci z rozpočtu iného subjektu verejnej správy, prostriedky poskytnuté z Európskej únie a iné prostriedky zo zahraničia alebo prostriedky získané na základe osobitného predpisu.</w:t>
      </w:r>
    </w:p>
    <w:p>
      <w:pPr>
        <w:pStyle w:val="Normal"/>
        <w:spacing w:lineRule="auto" w:line="360"/>
        <w:jc w:val="both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numPr>
          <w:ilvl w:val="0"/>
          <w:numId w:val="11"/>
        </w:numPr>
        <w:ind w:left="567" w:hanging="340"/>
        <w:jc w:val="both"/>
        <w:rPr/>
      </w:pPr>
      <w:r>
        <w:rPr>
          <w:b/>
          <w:bCs/>
        </w:rPr>
        <w:t>Výpočet podľa § 17 ods.6 písm. a):</w:t>
      </w:r>
    </w:p>
    <w:tbl>
      <w:tblPr>
        <w:tblW w:w="9356" w:type="dxa"/>
        <w:jc w:val="left"/>
        <w:tblInd w:w="234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firstRow="1" w:noVBand="0" w:lastRow="1" w:firstColumn="1" w:lastColumn="1" w:noHBand="0" w:val="01e0"/>
      </w:tblPr>
      <w:tblGrid>
        <w:gridCol w:w="6378"/>
        <w:gridCol w:w="2977"/>
      </w:tblGrid>
      <w:tr>
        <w:trPr>
          <w:trHeight w:val="205" w:hRule="atLeast"/>
        </w:trPr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TableParagraph"/>
              <w:widowControl w:val="false"/>
              <w:spacing w:lineRule="exact" w:line="186"/>
              <w:ind w:left="2997" w:right="2982" w:hanging="0"/>
              <w:jc w:val="both"/>
              <w:rPr>
                <w:b/>
                <w:b/>
                <w:sz w:val="20"/>
              </w:rPr>
            </w:pPr>
            <w:r>
              <w:rPr>
                <w:b/>
                <w:sz w:val="20"/>
              </w:rPr>
              <w:t>Text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TableParagraph"/>
              <w:widowControl w:val="false"/>
              <w:spacing w:lineRule="exact" w:line="186"/>
              <w:ind w:left="986" w:hanging="0"/>
              <w:rPr>
                <w:b/>
                <w:b/>
                <w:sz w:val="20"/>
              </w:rPr>
            </w:pPr>
            <w:r>
              <w:rPr>
                <w:b/>
                <w:sz w:val="20"/>
              </w:rPr>
              <w:t>Suma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v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EUR</w:t>
            </w:r>
          </w:p>
        </w:tc>
      </w:tr>
      <w:tr>
        <w:trPr>
          <w:trHeight w:val="230" w:hRule="atLeast"/>
        </w:trPr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11"/>
              <w:ind w:left="107" w:hanging="0"/>
              <w:rPr>
                <w:b/>
                <w:b/>
                <w:sz w:val="20"/>
              </w:rPr>
            </w:pPr>
            <w:r>
              <w:rPr>
                <w:b/>
                <w:sz w:val="20"/>
              </w:rPr>
              <w:t>Skutočné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bežné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príjmy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z finančného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výkazu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FIN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1-12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k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31.12.2024: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11"/>
              <w:ind w:left="107" w:hanging="0"/>
              <w:rPr>
                <w:b/>
                <w:b/>
                <w:sz w:val="20"/>
              </w:rPr>
            </w:pPr>
            <w:r>
              <w:rPr>
                <w:b/>
                <w:sz w:val="20"/>
              </w:rPr>
              <w:t>284 354,30</w:t>
            </w:r>
          </w:p>
        </w:tc>
      </w:tr>
      <w:tr>
        <w:trPr>
          <w:trHeight w:val="230" w:hRule="atLeast"/>
        </w:trPr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10"/>
              <w:ind w:left="283" w:hanging="0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skutočné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bežné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príjmy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obce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11"/>
              <w:ind w:left="107" w:hanging="0"/>
              <w:rPr>
                <w:b/>
                <w:b/>
                <w:sz w:val="20"/>
              </w:rPr>
            </w:pPr>
            <w:r>
              <w:rPr>
                <w:b/>
                <w:sz w:val="20"/>
              </w:rPr>
              <w:t>284 354,30</w:t>
            </w:r>
          </w:p>
        </w:tc>
      </w:tr>
      <w:tr>
        <w:trPr>
          <w:trHeight w:val="230" w:hRule="atLeast"/>
        </w:trPr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10"/>
              <w:ind w:left="283" w:hanging="0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skutočné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bežné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príjmy RO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10"/>
              <w:ind w:left="107" w:hanging="0"/>
              <w:rPr>
                <w:b/>
                <w:b/>
                <w:sz w:val="20"/>
              </w:rPr>
            </w:pPr>
            <w:r>
              <w:rPr>
                <w:b/>
                <w:w w:val="99"/>
                <w:sz w:val="20"/>
              </w:rPr>
              <w:t>0</w:t>
            </w:r>
          </w:p>
        </w:tc>
      </w:tr>
      <w:tr>
        <w:trPr>
          <w:trHeight w:val="230" w:hRule="atLeast"/>
        </w:trPr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TableParagraph"/>
              <w:widowControl w:val="false"/>
              <w:spacing w:lineRule="exact" w:line="210"/>
              <w:ind w:left="107" w:hanging="0"/>
              <w:rPr>
                <w:b/>
                <w:b/>
                <w:sz w:val="20"/>
              </w:rPr>
            </w:pPr>
            <w:r>
              <w:rPr>
                <w:b/>
                <w:sz w:val="20"/>
              </w:rPr>
              <w:t>Spolu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bežné príjmy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obce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a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z w:val="20"/>
              </w:rPr>
              <w:t>RO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k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31.12.2024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TableParagraph"/>
              <w:widowControl w:val="false"/>
              <w:spacing w:lineRule="exact" w:line="210"/>
              <w:ind w:left="57" w:hanging="0"/>
              <w:rPr>
                <w:b/>
                <w:b/>
                <w:sz w:val="20"/>
              </w:rPr>
            </w:pPr>
            <w:r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284 354,30</w:t>
            </w:r>
          </w:p>
        </w:tc>
      </w:tr>
      <w:tr>
        <w:trPr>
          <w:trHeight w:val="230" w:hRule="atLeast"/>
        </w:trPr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10"/>
              <w:ind w:left="107" w:hanging="0"/>
              <w:rPr>
                <w:b/>
                <w:b/>
                <w:sz w:val="20"/>
              </w:rPr>
            </w:pPr>
            <w:r>
              <w:rPr>
                <w:b/>
                <w:sz w:val="20"/>
              </w:rPr>
              <w:t>Celková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suma dlhu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obce k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31.12.2025: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10"/>
              <w:ind w:left="107" w:hanging="0"/>
              <w:rPr>
                <w:b/>
                <w:b/>
                <w:sz w:val="20"/>
              </w:rPr>
            </w:pPr>
            <w:r>
              <w:rPr>
                <w:b/>
                <w:sz w:val="20"/>
              </w:rPr>
              <w:t>66 200,08</w:t>
            </w:r>
          </w:p>
        </w:tc>
      </w:tr>
      <w:tr>
        <w:trPr>
          <w:trHeight w:val="230" w:hRule="atLeast"/>
        </w:trPr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10"/>
              <w:ind w:left="283" w:hanging="0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zostatok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istiny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z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bankových úverov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10"/>
              <w:ind w:left="107" w:hanging="0"/>
              <w:rPr>
                <w:b/>
                <w:b/>
                <w:sz w:val="20"/>
              </w:rPr>
            </w:pPr>
            <w:r>
              <w:rPr>
                <w:b/>
                <w:sz w:val="20"/>
              </w:rPr>
              <w:t>66 200,08</w:t>
            </w:r>
          </w:p>
        </w:tc>
      </w:tr>
      <w:tr>
        <w:trPr>
          <w:trHeight w:val="230" w:hRule="atLeast"/>
        </w:trPr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10"/>
              <w:ind w:left="283" w:hanging="0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zostatok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istiny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z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pôžičiek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10"/>
              <w:ind w:left="107" w:hanging="0"/>
              <w:rPr>
                <w:b/>
                <w:b/>
                <w:sz w:val="20"/>
              </w:rPr>
            </w:pPr>
            <w:r>
              <w:rPr>
                <w:b/>
                <w:w w:val="99"/>
                <w:sz w:val="20"/>
              </w:rPr>
              <w:t>0</w:t>
            </w:r>
          </w:p>
        </w:tc>
      </w:tr>
      <w:tr>
        <w:trPr>
          <w:trHeight w:val="230" w:hRule="atLeast"/>
        </w:trPr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10"/>
              <w:ind w:left="283" w:hanging="0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zostatok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istiny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z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návratných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finančných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výpomocí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10"/>
              <w:ind w:left="107" w:hanging="0"/>
              <w:rPr>
                <w:b/>
                <w:b/>
                <w:sz w:val="20"/>
              </w:rPr>
            </w:pPr>
            <w:r>
              <w:rPr>
                <w:b/>
                <w:w w:val="99"/>
                <w:sz w:val="20"/>
              </w:rPr>
              <w:t>0</w:t>
            </w:r>
          </w:p>
        </w:tc>
      </w:tr>
      <w:tr>
        <w:trPr>
          <w:trHeight w:val="230" w:hRule="atLeast"/>
        </w:trPr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10"/>
              <w:ind w:left="283" w:hanging="0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zostatok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istiny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z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investičných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dodávateľských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úverov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10"/>
              <w:ind w:left="107" w:hanging="0"/>
              <w:rPr>
                <w:b/>
                <w:b/>
                <w:sz w:val="20"/>
              </w:rPr>
            </w:pPr>
            <w:r>
              <w:rPr>
                <w:b/>
                <w:w w:val="99"/>
                <w:sz w:val="20"/>
              </w:rPr>
              <w:t>0</w:t>
            </w:r>
          </w:p>
        </w:tc>
      </w:tr>
      <w:tr>
        <w:trPr>
          <w:trHeight w:val="230" w:hRule="atLeast"/>
        </w:trPr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10"/>
              <w:ind w:left="283" w:hanging="0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zostatok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istiny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z bankových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úverov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na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predfinancovanie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projektov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EÚ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10"/>
              <w:ind w:left="107" w:hanging="0"/>
              <w:rPr>
                <w:b/>
                <w:b/>
                <w:sz w:val="20"/>
              </w:rPr>
            </w:pPr>
            <w:r>
              <w:rPr>
                <w:b/>
                <w:sz w:val="20"/>
              </w:rPr>
              <w:t>0</w:t>
            </w:r>
          </w:p>
        </w:tc>
      </w:tr>
      <w:tr>
        <w:trPr>
          <w:trHeight w:val="230" w:hRule="atLeast"/>
        </w:trPr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10"/>
              <w:ind w:left="283" w:hanging="0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zostatok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istiny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z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úverov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zo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ŠFRB na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obecné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nájomné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byty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10"/>
              <w:ind w:left="107" w:hanging="0"/>
              <w:rPr>
                <w:b/>
                <w:b/>
                <w:sz w:val="20"/>
              </w:rPr>
            </w:pPr>
            <w:r>
              <w:rPr>
                <w:b/>
                <w:w w:val="99"/>
                <w:sz w:val="20"/>
              </w:rPr>
              <w:t>0</w:t>
            </w:r>
          </w:p>
        </w:tc>
      </w:tr>
      <w:tr>
        <w:trPr>
          <w:trHeight w:val="230" w:hRule="atLeast"/>
        </w:trPr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10"/>
              <w:ind w:left="283" w:hanging="0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zostatok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istiny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z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úveru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z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Environmentálneho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fondu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10"/>
              <w:ind w:left="107" w:hanging="0"/>
              <w:rPr>
                <w:b/>
                <w:b/>
                <w:sz w:val="20"/>
              </w:rPr>
            </w:pPr>
            <w:r>
              <w:rPr>
                <w:b/>
                <w:w w:val="99"/>
                <w:sz w:val="20"/>
              </w:rPr>
              <w:t>0</w:t>
            </w:r>
          </w:p>
        </w:tc>
      </w:tr>
      <w:tr>
        <w:trPr>
          <w:trHeight w:val="230" w:hRule="atLeast"/>
        </w:trPr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10"/>
              <w:ind w:left="283" w:hanging="0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zostatok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istiny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z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........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10"/>
              <w:ind w:left="107" w:hanging="0"/>
              <w:rPr>
                <w:b/>
                <w:b/>
                <w:sz w:val="20"/>
              </w:rPr>
            </w:pPr>
            <w:r>
              <w:rPr>
                <w:b/>
                <w:w w:val="99"/>
                <w:sz w:val="20"/>
              </w:rPr>
              <w:t>0</w:t>
            </w:r>
          </w:p>
        </w:tc>
      </w:tr>
      <w:tr>
        <w:trPr>
          <w:trHeight w:val="230" w:hRule="atLeast"/>
        </w:trPr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1F1F1" w:val="clear"/>
          </w:tcPr>
          <w:p>
            <w:pPr>
              <w:pStyle w:val="TableParagraph"/>
              <w:widowControl w:val="false"/>
              <w:spacing w:lineRule="exact" w:line="210"/>
              <w:ind w:left="107" w:hanging="0"/>
              <w:rPr>
                <w:b/>
                <w:b/>
                <w:sz w:val="20"/>
              </w:rPr>
            </w:pPr>
            <w:r>
              <w:rPr>
                <w:b/>
                <w:sz w:val="20"/>
              </w:rPr>
              <w:t>Spolu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celková suma dlhu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obce</w:t>
            </w:r>
            <w:r>
              <w:rPr>
                <w:b/>
                <w:spacing w:val="3"/>
                <w:sz w:val="20"/>
              </w:rPr>
              <w:t xml:space="preserve"> </w:t>
            </w:r>
            <w:r>
              <w:rPr>
                <w:b/>
                <w:sz w:val="20"/>
              </w:rPr>
              <w:t>k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31.12.2025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1F1F1" w:val="clear"/>
          </w:tcPr>
          <w:p>
            <w:pPr>
              <w:pStyle w:val="TableParagraph"/>
              <w:widowControl w:val="false"/>
              <w:spacing w:lineRule="exact" w:line="210"/>
              <w:ind w:left="107" w:hanging="0"/>
              <w:rPr>
                <w:b/>
                <w:b/>
                <w:sz w:val="20"/>
              </w:rPr>
            </w:pPr>
            <w:r>
              <w:rPr>
                <w:rFonts w:eastAsia="Times New Roman" w:cs="Times New Roman"/>
                <w:b/>
                <w:color w:val="auto"/>
                <w:kern w:val="0"/>
                <w:sz w:val="20"/>
                <w:szCs w:val="24"/>
                <w:lang w:val="sk-SK" w:eastAsia="en-US" w:bidi="ar-SA"/>
              </w:rPr>
              <w:t>66</w:t>
            </w:r>
            <w:r>
              <w:rPr>
                <w:b/>
                <w:sz w:val="20"/>
              </w:rPr>
              <w:t> 200,08</w:t>
            </w:r>
          </w:p>
        </w:tc>
      </w:tr>
      <w:tr>
        <w:trPr>
          <w:trHeight w:val="230" w:hRule="atLeast"/>
        </w:trPr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10"/>
              <w:ind w:left="107" w:hanging="0"/>
              <w:rPr>
                <w:b/>
                <w:b/>
                <w:sz w:val="20"/>
              </w:rPr>
            </w:pPr>
            <w:r>
              <w:rPr>
                <w:b/>
                <w:sz w:val="20"/>
              </w:rPr>
              <w:t>Do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celkovej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sumy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sa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nezapočítavajú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záväzky: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10"/>
              <w:ind w:left="107" w:hanging="0"/>
              <w:rPr>
                <w:b/>
                <w:b/>
                <w:sz w:val="20"/>
              </w:rPr>
            </w:pPr>
            <w:r>
              <w:rPr>
                <w:b/>
                <w:w w:val="99"/>
                <w:sz w:val="20"/>
              </w:rPr>
              <w:t>0</w:t>
            </w:r>
          </w:p>
        </w:tc>
      </w:tr>
      <w:tr>
        <w:trPr>
          <w:trHeight w:val="230" w:hRule="atLeast"/>
        </w:trPr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10"/>
              <w:ind w:left="283" w:hanging="0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z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úverov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zo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ŠFRB obecné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nájomné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byty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10"/>
              <w:ind w:left="107" w:hanging="0"/>
              <w:rPr>
                <w:b/>
                <w:b/>
                <w:sz w:val="20"/>
              </w:rPr>
            </w:pPr>
            <w:r>
              <w:rPr>
                <w:b/>
                <w:w w:val="99"/>
                <w:sz w:val="20"/>
              </w:rPr>
              <w:t>0</w:t>
            </w:r>
          </w:p>
        </w:tc>
      </w:tr>
      <w:tr>
        <w:trPr>
          <w:trHeight w:val="230" w:hRule="atLeast"/>
        </w:trPr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1F1F1" w:val="clear"/>
          </w:tcPr>
          <w:p>
            <w:pPr>
              <w:pStyle w:val="TableParagraph"/>
              <w:widowControl w:val="false"/>
              <w:spacing w:lineRule="exact" w:line="210"/>
              <w:ind w:left="283" w:hanging="0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z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úveru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z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Environmentálneho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fondu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10"/>
              <w:ind w:left="107" w:hanging="0"/>
              <w:rPr>
                <w:b/>
                <w:b/>
                <w:sz w:val="20"/>
              </w:rPr>
            </w:pPr>
            <w:r>
              <w:rPr>
                <w:b/>
                <w:w w:val="99"/>
                <w:sz w:val="20"/>
              </w:rPr>
              <w:t>0</w:t>
            </w:r>
          </w:p>
        </w:tc>
      </w:tr>
      <w:tr>
        <w:trPr>
          <w:trHeight w:val="229" w:hRule="atLeast"/>
        </w:trPr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10"/>
              <w:ind w:left="283" w:hanging="0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z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bankových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úverov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na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predfinancovanie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projektov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EÚ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10"/>
              <w:ind w:left="107" w:hanging="0"/>
              <w:rPr>
                <w:b/>
                <w:b/>
                <w:sz w:val="20"/>
              </w:rPr>
            </w:pPr>
            <w:r>
              <w:rPr>
                <w:b/>
                <w:sz w:val="20"/>
              </w:rPr>
              <w:t>0</w:t>
            </w:r>
          </w:p>
        </w:tc>
      </w:tr>
      <w:tr>
        <w:trPr>
          <w:trHeight w:val="229" w:hRule="atLeast"/>
        </w:trPr>
        <w:tc>
          <w:tcPr>
            <w:tcW w:w="63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10"/>
              <w:ind w:left="283" w:hanging="0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z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úverov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................</w:t>
            </w:r>
          </w:p>
        </w:tc>
        <w:tc>
          <w:tcPr>
            <w:tcW w:w="29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10"/>
              <w:ind w:left="107" w:hanging="0"/>
              <w:rPr>
                <w:b/>
                <w:b/>
                <w:sz w:val="20"/>
              </w:rPr>
            </w:pPr>
            <w:r>
              <w:rPr>
                <w:b/>
                <w:sz w:val="20"/>
              </w:rPr>
              <w:t>0</w:t>
            </w:r>
          </w:p>
        </w:tc>
      </w:tr>
      <w:tr>
        <w:trPr>
          <w:trHeight w:val="229" w:hRule="atLeast"/>
        </w:trPr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1F1F1" w:val="clear"/>
          </w:tcPr>
          <w:p>
            <w:pPr>
              <w:pStyle w:val="TableParagraph"/>
              <w:widowControl w:val="false"/>
              <w:spacing w:lineRule="exact" w:line="210"/>
              <w:ind w:left="107" w:hanging="0"/>
              <w:rPr>
                <w:b/>
                <w:b/>
                <w:sz w:val="20"/>
              </w:rPr>
            </w:pPr>
            <w:r>
              <w:rPr>
                <w:b/>
                <w:sz w:val="20"/>
              </w:rPr>
              <w:t>Spolu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suma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záväzkov,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ktorá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sa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nezapočíta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do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celkovej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sumy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dlhu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obce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1F1F1" w:val="clear"/>
          </w:tcPr>
          <w:p>
            <w:pPr>
              <w:pStyle w:val="TableParagraph"/>
              <w:widowControl w:val="false"/>
              <w:spacing w:lineRule="exact" w:line="210"/>
              <w:ind w:left="107" w:hanging="0"/>
              <w:rPr>
                <w:b/>
                <w:b/>
                <w:sz w:val="20"/>
              </w:rPr>
            </w:pPr>
            <w:r>
              <w:rPr>
                <w:b/>
                <w:sz w:val="20"/>
              </w:rPr>
              <w:t>0</w:t>
            </w:r>
          </w:p>
        </w:tc>
      </w:tr>
      <w:tr>
        <w:trPr>
          <w:trHeight w:val="229" w:hRule="atLeast"/>
        </w:trPr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1F1F1" w:val="clear"/>
          </w:tcPr>
          <w:p>
            <w:pPr>
              <w:pStyle w:val="TableParagraph"/>
              <w:widowControl w:val="false"/>
              <w:spacing w:lineRule="exact" w:line="210"/>
              <w:ind w:left="107" w:hanging="0"/>
              <w:rPr>
                <w:b/>
                <w:b/>
                <w:sz w:val="20"/>
              </w:rPr>
            </w:pPr>
            <w:r>
              <w:rPr>
                <w:b/>
                <w:sz w:val="20"/>
              </w:rPr>
              <w:t>Spolu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upravená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celková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suma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dlhu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obce</w:t>
            </w:r>
            <w:r>
              <w:rPr>
                <w:b/>
                <w:spacing w:val="3"/>
                <w:sz w:val="20"/>
              </w:rPr>
              <w:t xml:space="preserve"> </w:t>
            </w:r>
            <w:r>
              <w:rPr>
                <w:b/>
                <w:sz w:val="20"/>
              </w:rPr>
              <w:t>k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31.12.2024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1F1F1" w:val="clear"/>
          </w:tcPr>
          <w:p>
            <w:pPr>
              <w:pStyle w:val="TableParagraph"/>
              <w:widowControl w:val="false"/>
              <w:spacing w:lineRule="exact" w:line="210"/>
              <w:rPr>
                <w:b/>
                <w:b/>
                <w:sz w:val="20"/>
              </w:rPr>
            </w:pPr>
            <w:r>
              <w:rPr>
                <w:b/>
                <w:sz w:val="20"/>
              </w:rPr>
              <w:t xml:space="preserve"> </w:t>
            </w:r>
            <w:r>
              <w:rPr>
                <w:rFonts w:eastAsia="Times New Roman" w:cs="Times New Roman"/>
                <w:b/>
                <w:color w:val="auto"/>
                <w:kern w:val="0"/>
                <w:sz w:val="20"/>
                <w:szCs w:val="24"/>
                <w:lang w:val="sk-SK" w:eastAsia="en-US" w:bidi="ar-SA"/>
              </w:rPr>
              <w:t>66</w:t>
            </w:r>
            <w:r>
              <w:rPr>
                <w:b/>
                <w:sz w:val="20"/>
              </w:rPr>
              <w:t> 200,08</w:t>
            </w:r>
          </w:p>
        </w:tc>
      </w:tr>
    </w:tbl>
    <w:p>
      <w:pPr>
        <w:pStyle w:val="Normal"/>
        <w:jc w:val="both"/>
        <w:rPr>
          <w:b/>
          <w:b/>
          <w:bCs/>
        </w:rPr>
      </w:pPr>
      <w:r>
        <w:rPr>
          <w:b/>
          <w:bCs/>
        </w:rPr>
      </w:r>
    </w:p>
    <w:tbl>
      <w:tblPr>
        <w:tblW w:w="9358" w:type="dxa"/>
        <w:jc w:val="left"/>
        <w:tblInd w:w="234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firstRow="1" w:noVBand="0" w:lastRow="1" w:firstColumn="1" w:lastColumn="1" w:noHBand="0" w:val="01e0"/>
      </w:tblPr>
      <w:tblGrid>
        <w:gridCol w:w="3119"/>
        <w:gridCol w:w="3262"/>
        <w:gridCol w:w="2977"/>
      </w:tblGrid>
      <w:tr>
        <w:trPr>
          <w:trHeight w:val="457" w:hRule="atLeast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TableParagraph"/>
              <w:widowControl w:val="false"/>
              <w:spacing w:lineRule="exact" w:line="228"/>
              <w:ind w:left="350" w:right="343" w:hanging="0"/>
              <w:jc w:val="center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Zostatok</w:t>
            </w:r>
            <w:r>
              <w:rPr>
                <w:b/>
                <w:spacing w:val="-4"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istiny</w:t>
            </w:r>
            <w:r>
              <w:rPr>
                <w:b/>
                <w:spacing w:val="-1"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k</w:t>
            </w:r>
            <w:r>
              <w:rPr>
                <w:b/>
                <w:spacing w:val="-2"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31.12.2025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TableParagraph"/>
              <w:widowControl w:val="false"/>
              <w:spacing w:lineRule="exact" w:line="230"/>
              <w:ind w:left="1096" w:right="634" w:hanging="452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Skutočné</w:t>
            </w:r>
            <w:r>
              <w:rPr>
                <w:b/>
                <w:spacing w:val="-8"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bežné</w:t>
            </w:r>
            <w:r>
              <w:rPr>
                <w:b/>
                <w:spacing w:val="-7"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príjmy</w:t>
            </w:r>
            <w:r>
              <w:rPr>
                <w:b/>
                <w:spacing w:val="-47"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k</w:t>
            </w:r>
            <w:r>
              <w:rPr>
                <w:b/>
                <w:spacing w:val="-3"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31.12.2024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TableParagraph"/>
              <w:widowControl w:val="false"/>
              <w:spacing w:lineRule="exact" w:line="228"/>
              <w:ind w:left="679" w:right="677" w:hanging="0"/>
              <w:jc w:val="center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§</w:t>
            </w:r>
            <w:r>
              <w:rPr>
                <w:b/>
                <w:spacing w:val="-1"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17</w:t>
            </w:r>
            <w:r>
              <w:rPr>
                <w:b/>
                <w:spacing w:val="-3"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ods.6</w:t>
            </w:r>
            <w:r>
              <w:rPr>
                <w:b/>
                <w:spacing w:val="-1"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písm.</w:t>
            </w:r>
            <w:r>
              <w:rPr>
                <w:b/>
                <w:spacing w:val="-2"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a)</w:t>
            </w:r>
          </w:p>
        </w:tc>
      </w:tr>
      <w:tr>
        <w:trPr>
          <w:trHeight w:val="276" w:hRule="atLeast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56"/>
              <w:ind w:left="349" w:right="343" w:hanging="0"/>
              <w:jc w:val="center"/>
              <w:rPr>
                <w:sz w:val="20"/>
                <w:szCs w:val="20"/>
              </w:rPr>
            </w:pPr>
            <w:r>
              <w:rPr>
                <w:rFonts w:eastAsia="Times New Roman" w:cs="Times New Roman"/>
                <w:color w:val="auto"/>
                <w:kern w:val="0"/>
                <w:sz w:val="20"/>
                <w:szCs w:val="20"/>
                <w:lang w:val="sk-SK" w:eastAsia="en-US" w:bidi="ar-SA"/>
              </w:rPr>
              <w:t>66</w:t>
            </w:r>
            <w:r>
              <w:rPr>
                <w:sz w:val="20"/>
                <w:szCs w:val="20"/>
              </w:rPr>
              <w:t> 200,08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56"/>
              <w:ind w:right="1095" w:hanging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284 354,30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56"/>
              <w:ind w:left="8" w:hanging="0"/>
              <w:jc w:val="center"/>
              <w:rPr>
                <w:b/>
                <w:b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color w:val="auto"/>
                <w:kern w:val="0"/>
                <w:sz w:val="20"/>
                <w:szCs w:val="20"/>
                <w:lang w:val="sk-SK" w:eastAsia="en-US" w:bidi="ar-SA"/>
              </w:rPr>
              <w:t>23,28</w:t>
            </w:r>
            <w:r>
              <w:rPr>
                <w:b/>
                <w:sz w:val="20"/>
                <w:szCs w:val="20"/>
              </w:rPr>
              <w:t xml:space="preserve"> %</w:t>
            </w:r>
          </w:p>
        </w:tc>
      </w:tr>
    </w:tbl>
    <w:p>
      <w:pPr>
        <w:pStyle w:val="Normal"/>
        <w:jc w:val="both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spacing w:lineRule="auto" w:line="360"/>
        <w:jc w:val="both"/>
        <w:rPr/>
      </w:pPr>
      <w:r>
        <w:rPr/>
        <w:t>Zákonná podmienka podľa § 17 ods.6 písm. a) zákona č.583/2004 Z.z. bola splnená.</w:t>
      </w:r>
    </w:p>
    <w:p>
      <w:pPr>
        <w:pStyle w:val="Normal"/>
        <w:spacing w:lineRule="auto" w:line="360"/>
        <w:jc w:val="both"/>
        <w:rPr/>
      </w:pPr>
      <w:r>
        <w:rPr/>
      </w:r>
    </w:p>
    <w:p>
      <w:pPr>
        <w:pStyle w:val="Normal"/>
        <w:numPr>
          <w:ilvl w:val="0"/>
          <w:numId w:val="12"/>
        </w:numPr>
        <w:jc w:val="both"/>
        <w:rPr/>
      </w:pPr>
      <w:r>
        <w:rPr>
          <w:b/>
          <w:bCs/>
        </w:rPr>
        <w:t>Výpočet podľa § 17 ods.6 písm. b) :</w:t>
      </w:r>
    </w:p>
    <w:tbl>
      <w:tblPr>
        <w:tblW w:w="9357" w:type="dxa"/>
        <w:jc w:val="left"/>
        <w:tblInd w:w="234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firstRow="1" w:noVBand="0" w:lastRow="1" w:firstColumn="1" w:lastColumn="1" w:noHBand="0" w:val="01e0"/>
      </w:tblPr>
      <w:tblGrid>
        <w:gridCol w:w="6373"/>
        <w:gridCol w:w="2983"/>
      </w:tblGrid>
      <w:tr>
        <w:trPr>
          <w:trHeight w:val="206" w:hRule="atLeast"/>
        </w:trPr>
        <w:tc>
          <w:tcPr>
            <w:tcW w:w="6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TableParagraph"/>
              <w:widowControl w:val="false"/>
              <w:spacing w:lineRule="exact" w:line="186"/>
              <w:ind w:left="2988" w:right="2982" w:hanging="0"/>
              <w:jc w:val="center"/>
              <w:rPr>
                <w:sz w:val="18"/>
              </w:rPr>
            </w:pPr>
            <w:r>
              <w:rPr>
                <w:sz w:val="18"/>
              </w:rPr>
              <w:t>Text</w:t>
            </w:r>
          </w:p>
        </w:tc>
        <w:tc>
          <w:tcPr>
            <w:tcW w:w="2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TableParagraph"/>
              <w:widowControl w:val="false"/>
              <w:spacing w:lineRule="exact" w:line="186"/>
              <w:ind w:left="994" w:right="986" w:hanging="0"/>
              <w:jc w:val="center"/>
              <w:rPr>
                <w:sz w:val="18"/>
              </w:rPr>
            </w:pPr>
            <w:r>
              <w:rPr>
                <w:sz w:val="18"/>
              </w:rPr>
              <w:t>Suma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v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EUR</w:t>
            </w:r>
          </w:p>
        </w:tc>
      </w:tr>
      <w:tr>
        <w:trPr>
          <w:trHeight w:val="230" w:hRule="atLeast"/>
        </w:trPr>
        <w:tc>
          <w:tcPr>
            <w:tcW w:w="6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1F1F1" w:val="clear"/>
          </w:tcPr>
          <w:p>
            <w:pPr>
              <w:pStyle w:val="TableParagraph"/>
              <w:widowControl w:val="false"/>
              <w:spacing w:lineRule="exact" w:line="210"/>
              <w:ind w:left="107" w:hanging="0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Skutočné</w:t>
            </w:r>
            <w:r>
              <w:rPr>
                <w:b/>
                <w:spacing w:val="-3"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bežné</w:t>
            </w:r>
            <w:r>
              <w:rPr>
                <w:b/>
                <w:spacing w:val="-2"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príjmy</w:t>
            </w:r>
            <w:r>
              <w:rPr>
                <w:b/>
                <w:spacing w:val="-2"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z finančného</w:t>
            </w:r>
            <w:r>
              <w:rPr>
                <w:b/>
                <w:spacing w:val="-1"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výkazu</w:t>
            </w:r>
            <w:r>
              <w:rPr>
                <w:b/>
                <w:spacing w:val="-3"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FIN</w:t>
            </w:r>
            <w:r>
              <w:rPr>
                <w:b/>
                <w:spacing w:val="-2"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1-12</w:t>
            </w:r>
            <w:r>
              <w:rPr>
                <w:b/>
                <w:spacing w:val="-2"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k</w:t>
            </w:r>
            <w:r>
              <w:rPr>
                <w:b/>
                <w:spacing w:val="-1"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31.12.2024:</w:t>
            </w:r>
          </w:p>
        </w:tc>
        <w:tc>
          <w:tcPr>
            <w:tcW w:w="2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10"/>
              <w:ind w:left="107" w:hanging="0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284 354,30</w:t>
            </w:r>
          </w:p>
        </w:tc>
      </w:tr>
      <w:tr>
        <w:trPr>
          <w:trHeight w:val="230" w:hRule="atLeast"/>
        </w:trPr>
        <w:tc>
          <w:tcPr>
            <w:tcW w:w="6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10"/>
              <w:ind w:left="283" w:hang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>
              <w:rPr>
                <w:spacing w:val="2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skutočné</w:t>
            </w:r>
            <w:r>
              <w:rPr>
                <w:spacing w:val="-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bežné</w:t>
            </w:r>
            <w:r>
              <w:rPr>
                <w:spacing w:val="-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príjmy</w:t>
            </w:r>
            <w:r>
              <w:rPr>
                <w:spacing w:val="-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obce</w:t>
            </w:r>
          </w:p>
        </w:tc>
        <w:tc>
          <w:tcPr>
            <w:tcW w:w="2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10"/>
              <w:ind w:left="107" w:hanging="0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284 354,30</w:t>
            </w:r>
          </w:p>
        </w:tc>
      </w:tr>
      <w:tr>
        <w:trPr>
          <w:trHeight w:val="230" w:hRule="atLeast"/>
        </w:trPr>
        <w:tc>
          <w:tcPr>
            <w:tcW w:w="6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10"/>
              <w:ind w:left="283" w:hang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>
              <w:rPr>
                <w:spacing w:val="2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skutočné</w:t>
            </w:r>
            <w:r>
              <w:rPr>
                <w:spacing w:val="-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bežné</w:t>
            </w:r>
            <w:r>
              <w:rPr>
                <w:spacing w:val="-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príjmy RO</w:t>
            </w:r>
          </w:p>
        </w:tc>
        <w:tc>
          <w:tcPr>
            <w:tcW w:w="2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10"/>
              <w:ind w:left="107" w:hanging="0"/>
              <w:rPr>
                <w:b/>
                <w:b/>
                <w:sz w:val="20"/>
                <w:szCs w:val="20"/>
              </w:rPr>
            </w:pPr>
            <w:r>
              <w:rPr>
                <w:b/>
                <w:w w:val="99"/>
                <w:sz w:val="20"/>
                <w:szCs w:val="20"/>
              </w:rPr>
              <w:t>0</w:t>
            </w:r>
          </w:p>
        </w:tc>
      </w:tr>
      <w:tr>
        <w:trPr>
          <w:trHeight w:val="230" w:hRule="atLeast"/>
        </w:trPr>
        <w:tc>
          <w:tcPr>
            <w:tcW w:w="6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1F1F1" w:val="clear"/>
          </w:tcPr>
          <w:p>
            <w:pPr>
              <w:pStyle w:val="TableParagraph"/>
              <w:widowControl w:val="false"/>
              <w:spacing w:lineRule="exact" w:line="210"/>
              <w:ind w:left="107" w:hanging="0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Spolu</w:t>
            </w:r>
            <w:r>
              <w:rPr>
                <w:b/>
                <w:spacing w:val="-3"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bežné príjmy</w:t>
            </w:r>
            <w:r>
              <w:rPr>
                <w:b/>
                <w:spacing w:val="-1"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obce</w:t>
            </w:r>
            <w:r>
              <w:rPr>
                <w:b/>
                <w:spacing w:val="-2"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a</w:t>
            </w:r>
            <w:r>
              <w:rPr>
                <w:b/>
                <w:spacing w:val="2"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RO</w:t>
            </w:r>
            <w:r>
              <w:rPr>
                <w:b/>
                <w:spacing w:val="-1"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k</w:t>
            </w:r>
            <w:r>
              <w:rPr>
                <w:b/>
                <w:spacing w:val="-4"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31.12.2024</w:t>
            </w:r>
          </w:p>
        </w:tc>
        <w:tc>
          <w:tcPr>
            <w:tcW w:w="2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1F1F1" w:val="clear"/>
          </w:tcPr>
          <w:p>
            <w:pPr>
              <w:pStyle w:val="TableParagraph"/>
              <w:widowControl w:val="false"/>
              <w:spacing w:lineRule="exact" w:line="210"/>
              <w:ind w:left="107" w:hanging="0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284 354,30</w:t>
            </w:r>
          </w:p>
        </w:tc>
      </w:tr>
      <w:tr>
        <w:trPr>
          <w:trHeight w:val="230" w:hRule="atLeast"/>
        </w:trPr>
        <w:tc>
          <w:tcPr>
            <w:tcW w:w="6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10"/>
              <w:ind w:left="107" w:hanging="0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Bežné</w:t>
            </w:r>
            <w:r>
              <w:rPr>
                <w:b/>
                <w:spacing w:val="-3"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príjmy obce</w:t>
            </w:r>
            <w:r>
              <w:rPr>
                <w:b/>
                <w:spacing w:val="-3"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a RO</w:t>
            </w:r>
            <w:r>
              <w:rPr>
                <w:b/>
                <w:spacing w:val="-1"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znížené</w:t>
            </w:r>
            <w:r>
              <w:rPr>
                <w:b/>
                <w:spacing w:val="-2"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o:</w:t>
            </w:r>
          </w:p>
        </w:tc>
        <w:tc>
          <w:tcPr>
            <w:tcW w:w="2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</w:tr>
      <w:tr>
        <w:trPr>
          <w:trHeight w:val="230" w:hRule="atLeast"/>
        </w:trPr>
        <w:tc>
          <w:tcPr>
            <w:tcW w:w="6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10"/>
              <w:ind w:left="283" w:hang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>
              <w:rPr>
                <w:spacing w:val="2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dotácie</w:t>
            </w:r>
            <w:r>
              <w:rPr>
                <w:spacing w:val="-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na</w:t>
            </w:r>
            <w:r>
              <w:rPr>
                <w:spacing w:val="-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prenesený</w:t>
            </w:r>
            <w:r>
              <w:rPr>
                <w:spacing w:val="-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výkon</w:t>
            </w:r>
            <w:r>
              <w:rPr>
                <w:spacing w:val="-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štátnej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správy</w:t>
            </w:r>
          </w:p>
        </w:tc>
        <w:tc>
          <w:tcPr>
            <w:tcW w:w="2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rPr>
                <w:color w:val="FF0000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rFonts w:eastAsia="Times New Roman" w:cs="Times New Roman"/>
                <w:color w:val="auto"/>
                <w:kern w:val="0"/>
                <w:sz w:val="20"/>
                <w:szCs w:val="20"/>
                <w:lang w:val="sk-SK" w:eastAsia="en-US" w:bidi="ar-SA"/>
              </w:rPr>
              <w:t>285,70</w:t>
            </w:r>
          </w:p>
        </w:tc>
      </w:tr>
      <w:tr>
        <w:trPr>
          <w:trHeight w:val="230" w:hRule="atLeast"/>
        </w:trPr>
        <w:tc>
          <w:tcPr>
            <w:tcW w:w="6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10"/>
              <w:ind w:left="283" w:hang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>
              <w:rPr>
                <w:spacing w:val="2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dotácie</w:t>
            </w:r>
            <w:r>
              <w:rPr>
                <w:spacing w:val="-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z MF</w:t>
            </w:r>
            <w:r>
              <w:rPr>
                <w:spacing w:val="-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SR</w:t>
            </w:r>
          </w:p>
        </w:tc>
        <w:tc>
          <w:tcPr>
            <w:tcW w:w="2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 w:val="false"/>
                <w:bCs w:val="false"/>
                <w:sz w:val="20"/>
                <w:szCs w:val="20"/>
              </w:rPr>
              <w:t xml:space="preserve">67 </w:t>
            </w:r>
            <w:r>
              <w:rPr>
                <w:rFonts w:eastAsia="Times New Roman" w:cs="Times New Roman"/>
                <w:b w:val="false"/>
                <w:bCs w:val="false"/>
                <w:color w:val="auto"/>
                <w:kern w:val="0"/>
                <w:sz w:val="20"/>
                <w:szCs w:val="20"/>
                <w:lang w:val="sk-SK" w:eastAsia="en-US" w:bidi="ar-SA"/>
              </w:rPr>
              <w:t>023,16</w:t>
            </w:r>
          </w:p>
        </w:tc>
      </w:tr>
      <w:tr>
        <w:trPr>
          <w:trHeight w:val="230" w:hRule="atLeast"/>
        </w:trPr>
        <w:tc>
          <w:tcPr>
            <w:tcW w:w="6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10"/>
              <w:ind w:left="283" w:hang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>
              <w:rPr>
                <w:spacing w:val="2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príjmy</w:t>
            </w:r>
            <w:r>
              <w:rPr>
                <w:spacing w:val="-6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z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náhradnej výsadby</w:t>
            </w:r>
            <w:r>
              <w:rPr>
                <w:spacing w:val="-6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drevín</w:t>
            </w:r>
          </w:p>
        </w:tc>
        <w:tc>
          <w:tcPr>
            <w:tcW w:w="2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</w:tr>
      <w:tr>
        <w:trPr>
          <w:trHeight w:val="230" w:hRule="atLeast"/>
        </w:trPr>
        <w:tc>
          <w:tcPr>
            <w:tcW w:w="6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10"/>
              <w:ind w:left="283" w:hang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>
              <w:rPr>
                <w:spacing w:val="2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účelovo</w:t>
            </w:r>
            <w:r>
              <w:rPr>
                <w:spacing w:val="-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určené</w:t>
            </w:r>
            <w:r>
              <w:rPr>
                <w:spacing w:val="-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peňažné</w:t>
            </w:r>
            <w:r>
              <w:rPr>
                <w:spacing w:val="-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dary</w:t>
            </w:r>
          </w:p>
        </w:tc>
        <w:tc>
          <w:tcPr>
            <w:tcW w:w="2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5 370,00</w:t>
            </w:r>
          </w:p>
        </w:tc>
      </w:tr>
      <w:tr>
        <w:trPr>
          <w:trHeight w:val="230" w:hRule="atLeast"/>
        </w:trPr>
        <w:tc>
          <w:tcPr>
            <w:tcW w:w="6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10"/>
              <w:ind w:left="283" w:hanging="0"/>
              <w:rPr>
                <w:sz w:val="20"/>
                <w:szCs w:val="20"/>
              </w:rPr>
            </w:pPr>
            <w:r>
              <w:rPr>
                <w:w w:val="99"/>
                <w:sz w:val="20"/>
                <w:szCs w:val="20"/>
              </w:rPr>
              <w:t>-</w:t>
            </w:r>
          </w:p>
        </w:tc>
        <w:tc>
          <w:tcPr>
            <w:tcW w:w="2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</w:tr>
      <w:tr>
        <w:trPr>
          <w:trHeight w:val="230" w:hRule="atLeast"/>
        </w:trPr>
        <w:tc>
          <w:tcPr>
            <w:tcW w:w="6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1F1F1" w:val="clear"/>
          </w:tcPr>
          <w:p>
            <w:pPr>
              <w:pStyle w:val="TableParagraph"/>
              <w:widowControl w:val="false"/>
              <w:spacing w:lineRule="exact" w:line="210"/>
              <w:ind w:left="107" w:hanging="0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Spolu</w:t>
            </w:r>
            <w:r>
              <w:rPr>
                <w:b/>
                <w:spacing w:val="-4"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bežné príjmy obce</w:t>
            </w:r>
            <w:r>
              <w:rPr>
                <w:b/>
                <w:spacing w:val="-3"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a RO</w:t>
            </w:r>
            <w:r>
              <w:rPr>
                <w:b/>
                <w:spacing w:val="-1"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znížené</w:t>
            </w:r>
            <w:r>
              <w:rPr>
                <w:b/>
                <w:spacing w:val="1"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k</w:t>
            </w:r>
            <w:r>
              <w:rPr>
                <w:b/>
                <w:spacing w:val="-6"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31.12.2024</w:t>
            </w:r>
          </w:p>
        </w:tc>
        <w:tc>
          <w:tcPr>
            <w:tcW w:w="2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1F1F1" w:val="clear"/>
          </w:tcPr>
          <w:p>
            <w:pPr>
              <w:pStyle w:val="TableParagraph"/>
              <w:widowControl w:val="false"/>
              <w:spacing w:lineRule="exact" w:line="210"/>
              <w:ind w:left="107" w:hanging="0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</w:r>
          </w:p>
        </w:tc>
      </w:tr>
      <w:tr>
        <w:trPr>
          <w:trHeight w:val="229" w:hRule="atLeast"/>
        </w:trPr>
        <w:tc>
          <w:tcPr>
            <w:tcW w:w="6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TableParagraph"/>
              <w:widowControl w:val="false"/>
              <w:spacing w:lineRule="exact" w:line="210"/>
              <w:ind w:left="107" w:hanging="0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Spolu</w:t>
            </w:r>
            <w:r>
              <w:rPr>
                <w:b/>
                <w:spacing w:val="-3"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upravené</w:t>
            </w:r>
            <w:r>
              <w:rPr>
                <w:b/>
                <w:spacing w:val="-2"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bežné</w:t>
            </w:r>
            <w:r>
              <w:rPr>
                <w:b/>
                <w:spacing w:val="-1"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príjmy</w:t>
            </w:r>
            <w:r>
              <w:rPr>
                <w:b/>
                <w:spacing w:val="-2"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k</w:t>
            </w:r>
            <w:r>
              <w:rPr>
                <w:b/>
                <w:spacing w:val="-3"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31.12.2024</w:t>
            </w:r>
          </w:p>
        </w:tc>
        <w:tc>
          <w:tcPr>
            <w:tcW w:w="2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TableParagraph"/>
              <w:widowControl w:val="false"/>
              <w:spacing w:lineRule="exact" w:line="210"/>
              <w:ind w:left="107" w:hanging="0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211 675,44</w:t>
            </w:r>
          </w:p>
        </w:tc>
      </w:tr>
      <w:tr>
        <w:trPr>
          <w:trHeight w:val="460" w:hRule="atLeast"/>
        </w:trPr>
        <w:tc>
          <w:tcPr>
            <w:tcW w:w="6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1F1F1" w:val="clear"/>
          </w:tcPr>
          <w:p>
            <w:pPr>
              <w:pStyle w:val="TableParagraph"/>
              <w:widowControl w:val="false"/>
              <w:spacing w:lineRule="exact" w:line="230"/>
              <w:ind w:left="107" w:right="542" w:hanging="0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Splátky istiny a úrokov z finančného výkazu FIN 1-12 k 31.12.2025</w:t>
            </w:r>
            <w:r>
              <w:rPr>
                <w:b/>
                <w:spacing w:val="-47"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s</w:t>
            </w:r>
            <w:r>
              <w:rPr>
                <w:b/>
                <w:spacing w:val="-2"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výnimkou</w:t>
            </w:r>
            <w:r>
              <w:rPr>
                <w:b/>
                <w:spacing w:val="-2"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jednorazového</w:t>
            </w:r>
            <w:r>
              <w:rPr>
                <w:b/>
                <w:spacing w:val="1"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predčasného</w:t>
            </w:r>
            <w:r>
              <w:rPr>
                <w:b/>
                <w:spacing w:val="-1"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splatenia:</w:t>
            </w:r>
          </w:p>
        </w:tc>
        <w:tc>
          <w:tcPr>
            <w:tcW w:w="2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28"/>
              <w:ind w:left="107" w:hanging="0"/>
              <w:rPr>
                <w:b/>
                <w:b/>
                <w:sz w:val="20"/>
                <w:szCs w:val="20"/>
              </w:rPr>
            </w:pPr>
            <w:r>
              <w:rPr>
                <w:b/>
                <w:w w:val="99"/>
                <w:sz w:val="20"/>
                <w:szCs w:val="20"/>
              </w:rPr>
              <w:t>0</w:t>
            </w:r>
          </w:p>
        </w:tc>
      </w:tr>
      <w:tr>
        <w:trPr>
          <w:trHeight w:val="230" w:hRule="atLeast"/>
        </w:trPr>
        <w:tc>
          <w:tcPr>
            <w:tcW w:w="6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10"/>
              <w:ind w:left="283" w:hang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>
              <w:rPr>
                <w:spacing w:val="24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819001</w:t>
            </w:r>
          </w:p>
        </w:tc>
        <w:tc>
          <w:tcPr>
            <w:tcW w:w="2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10"/>
              <w:ind w:left="107" w:hanging="0"/>
              <w:rPr>
                <w:b/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</w:r>
          </w:p>
        </w:tc>
      </w:tr>
      <w:tr>
        <w:trPr>
          <w:trHeight w:val="230" w:hRule="atLeast"/>
        </w:trPr>
        <w:tc>
          <w:tcPr>
            <w:tcW w:w="6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10"/>
              <w:ind w:left="283" w:hang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>
              <w:rPr>
                <w:spacing w:val="24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821004</w:t>
            </w:r>
          </w:p>
        </w:tc>
        <w:tc>
          <w:tcPr>
            <w:tcW w:w="2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10"/>
              <w:ind w:left="107" w:hanging="0"/>
              <w:rPr>
                <w:b/>
                <w:b/>
                <w:sz w:val="20"/>
                <w:szCs w:val="20"/>
              </w:rPr>
            </w:pPr>
            <w:r>
              <w:rPr>
                <w:b/>
                <w:w w:val="99"/>
                <w:sz w:val="20"/>
                <w:szCs w:val="20"/>
              </w:rPr>
              <w:t>0</w:t>
            </w:r>
          </w:p>
        </w:tc>
      </w:tr>
      <w:tr>
        <w:trPr>
          <w:trHeight w:val="230" w:hRule="atLeast"/>
        </w:trPr>
        <w:tc>
          <w:tcPr>
            <w:tcW w:w="6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10"/>
              <w:ind w:left="283" w:hang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>
              <w:rPr>
                <w:spacing w:val="24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821005</w:t>
            </w:r>
          </w:p>
        </w:tc>
        <w:tc>
          <w:tcPr>
            <w:tcW w:w="2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10"/>
              <w:ind w:left="107" w:hanging="0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9 699,96</w:t>
            </w:r>
          </w:p>
        </w:tc>
      </w:tr>
      <w:tr>
        <w:trPr>
          <w:trHeight w:val="230" w:hRule="atLeast"/>
        </w:trPr>
        <w:tc>
          <w:tcPr>
            <w:tcW w:w="6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10"/>
              <w:ind w:left="283" w:hang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>
              <w:rPr>
                <w:spacing w:val="24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821007</w:t>
            </w:r>
          </w:p>
        </w:tc>
        <w:tc>
          <w:tcPr>
            <w:tcW w:w="2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10"/>
              <w:ind w:left="107" w:hanging="0"/>
              <w:rPr>
                <w:b/>
                <w:b/>
                <w:sz w:val="20"/>
                <w:szCs w:val="20"/>
              </w:rPr>
            </w:pPr>
            <w:r>
              <w:rPr>
                <w:b/>
                <w:w w:val="99"/>
                <w:sz w:val="20"/>
                <w:szCs w:val="20"/>
              </w:rPr>
              <w:t>0</w:t>
            </w:r>
          </w:p>
        </w:tc>
      </w:tr>
      <w:tr>
        <w:trPr>
          <w:trHeight w:val="230" w:hRule="atLeast"/>
        </w:trPr>
        <w:tc>
          <w:tcPr>
            <w:tcW w:w="6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10"/>
              <w:ind w:left="283" w:hang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>
              <w:rPr>
                <w:spacing w:val="24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821009</w:t>
            </w:r>
          </w:p>
        </w:tc>
        <w:tc>
          <w:tcPr>
            <w:tcW w:w="2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10"/>
              <w:ind w:left="107" w:hanging="0"/>
              <w:rPr>
                <w:b/>
                <w:b/>
                <w:sz w:val="20"/>
                <w:szCs w:val="20"/>
              </w:rPr>
            </w:pPr>
            <w:r>
              <w:rPr>
                <w:b/>
                <w:w w:val="99"/>
                <w:sz w:val="20"/>
                <w:szCs w:val="20"/>
              </w:rPr>
              <w:t>0</w:t>
            </w:r>
          </w:p>
        </w:tc>
      </w:tr>
      <w:tr>
        <w:trPr>
          <w:trHeight w:val="230" w:hRule="atLeast"/>
        </w:trPr>
        <w:tc>
          <w:tcPr>
            <w:tcW w:w="6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10"/>
              <w:ind w:left="283" w:hanging="0"/>
              <w:rPr>
                <w:sz w:val="20"/>
                <w:szCs w:val="20"/>
              </w:rPr>
            </w:pPr>
            <w:r>
              <w:rPr>
                <w:w w:val="99"/>
                <w:sz w:val="20"/>
                <w:szCs w:val="20"/>
              </w:rPr>
              <w:t>-</w:t>
            </w:r>
          </w:p>
        </w:tc>
        <w:tc>
          <w:tcPr>
            <w:tcW w:w="2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10"/>
              <w:ind w:left="107" w:hanging="0"/>
              <w:rPr>
                <w:b/>
                <w:b/>
                <w:sz w:val="20"/>
                <w:szCs w:val="20"/>
              </w:rPr>
            </w:pPr>
            <w:r>
              <w:rPr>
                <w:b/>
                <w:w w:val="99"/>
                <w:sz w:val="20"/>
                <w:szCs w:val="20"/>
              </w:rPr>
              <w:t>0</w:t>
            </w:r>
          </w:p>
        </w:tc>
      </w:tr>
      <w:tr>
        <w:trPr>
          <w:trHeight w:val="230" w:hRule="atLeast"/>
        </w:trPr>
        <w:tc>
          <w:tcPr>
            <w:tcW w:w="6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10"/>
              <w:ind w:left="283" w:hang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>
              <w:rPr>
                <w:spacing w:val="24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651002</w:t>
            </w:r>
          </w:p>
        </w:tc>
        <w:tc>
          <w:tcPr>
            <w:tcW w:w="2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10"/>
              <w:ind w:left="107" w:hanging="0"/>
              <w:rPr>
                <w:b/>
                <w:b/>
                <w:w w:val="99"/>
                <w:sz w:val="20"/>
                <w:szCs w:val="20"/>
              </w:rPr>
            </w:pPr>
            <w:r>
              <w:rPr>
                <w:b/>
                <w:w w:val="99"/>
                <w:sz w:val="20"/>
                <w:szCs w:val="20"/>
              </w:rPr>
              <w:t>1 </w:t>
            </w:r>
            <w:r>
              <w:rPr>
                <w:rFonts w:eastAsia="Times New Roman" w:cs="Times New Roman"/>
                <w:b/>
                <w:color w:val="auto"/>
                <w:w w:val="99"/>
                <w:kern w:val="0"/>
                <w:sz w:val="20"/>
                <w:szCs w:val="20"/>
                <w:lang w:val="sk-SK" w:eastAsia="en-US" w:bidi="ar-SA"/>
              </w:rPr>
              <w:t>355,90</w:t>
            </w:r>
          </w:p>
        </w:tc>
      </w:tr>
      <w:tr>
        <w:trPr>
          <w:trHeight w:val="230" w:hRule="atLeast"/>
        </w:trPr>
        <w:tc>
          <w:tcPr>
            <w:tcW w:w="6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10"/>
              <w:ind w:left="283" w:hang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>
              <w:rPr>
                <w:spacing w:val="24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651003</w:t>
            </w:r>
          </w:p>
        </w:tc>
        <w:tc>
          <w:tcPr>
            <w:tcW w:w="2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10"/>
              <w:ind w:left="107" w:hanging="0"/>
              <w:rPr>
                <w:b/>
                <w:b/>
                <w:sz w:val="20"/>
                <w:szCs w:val="20"/>
              </w:rPr>
            </w:pPr>
            <w:r>
              <w:rPr>
                <w:b/>
                <w:w w:val="99"/>
                <w:sz w:val="20"/>
                <w:szCs w:val="20"/>
              </w:rPr>
              <w:t>0</w:t>
            </w:r>
          </w:p>
        </w:tc>
      </w:tr>
      <w:tr>
        <w:trPr>
          <w:trHeight w:val="230" w:hRule="atLeast"/>
        </w:trPr>
        <w:tc>
          <w:tcPr>
            <w:tcW w:w="6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10"/>
              <w:ind w:left="283" w:hang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>
              <w:rPr>
                <w:spacing w:val="24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651004</w:t>
            </w:r>
          </w:p>
        </w:tc>
        <w:tc>
          <w:tcPr>
            <w:tcW w:w="2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10"/>
              <w:ind w:left="107" w:hanging="0"/>
              <w:rPr>
                <w:b/>
                <w:b/>
                <w:sz w:val="20"/>
                <w:szCs w:val="20"/>
              </w:rPr>
            </w:pPr>
            <w:r>
              <w:rPr>
                <w:b/>
                <w:w w:val="99"/>
                <w:sz w:val="20"/>
                <w:szCs w:val="20"/>
              </w:rPr>
              <w:t>0</w:t>
            </w:r>
          </w:p>
        </w:tc>
      </w:tr>
      <w:tr>
        <w:trPr>
          <w:trHeight w:val="274" w:hRule="atLeast"/>
        </w:trPr>
        <w:tc>
          <w:tcPr>
            <w:tcW w:w="6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10"/>
              <w:ind w:left="283" w:hanging="0"/>
              <w:rPr>
                <w:sz w:val="20"/>
                <w:szCs w:val="20"/>
              </w:rPr>
            </w:pPr>
            <w:r>
              <w:rPr>
                <w:w w:val="99"/>
                <w:sz w:val="20"/>
                <w:szCs w:val="20"/>
              </w:rPr>
              <w:t>- 653001</w:t>
            </w:r>
          </w:p>
        </w:tc>
        <w:tc>
          <w:tcPr>
            <w:tcW w:w="2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10"/>
              <w:ind w:left="107" w:hanging="0"/>
              <w:rPr>
                <w:b/>
                <w:b/>
                <w:w w:val="99"/>
                <w:sz w:val="20"/>
                <w:szCs w:val="20"/>
              </w:rPr>
            </w:pPr>
            <w:r>
              <w:rPr>
                <w:b/>
                <w:w w:val="99"/>
                <w:sz w:val="20"/>
                <w:szCs w:val="20"/>
              </w:rPr>
              <w:t>280,00</w:t>
            </w:r>
          </w:p>
        </w:tc>
      </w:tr>
      <w:tr>
        <w:trPr>
          <w:trHeight w:val="275" w:hRule="atLeast"/>
        </w:trPr>
        <w:tc>
          <w:tcPr>
            <w:tcW w:w="6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TableParagraph"/>
              <w:widowControl w:val="false"/>
              <w:spacing w:lineRule="exact" w:line="210"/>
              <w:ind w:left="107" w:hanging="0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Spolu</w:t>
            </w:r>
            <w:r>
              <w:rPr>
                <w:b/>
                <w:spacing w:val="-3"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splátky</w:t>
            </w:r>
            <w:r>
              <w:rPr>
                <w:b/>
                <w:spacing w:val="-1"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istiny</w:t>
            </w:r>
            <w:r>
              <w:rPr>
                <w:b/>
                <w:spacing w:val="-1"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a</w:t>
            </w:r>
            <w:r>
              <w:rPr>
                <w:b/>
                <w:spacing w:val="1"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úrokov</w:t>
            </w:r>
            <w:r>
              <w:rPr>
                <w:b/>
                <w:spacing w:val="-1"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k</w:t>
            </w:r>
            <w:r>
              <w:rPr>
                <w:b/>
                <w:spacing w:val="-2"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31.12.2025</w:t>
            </w:r>
          </w:p>
        </w:tc>
        <w:tc>
          <w:tcPr>
            <w:tcW w:w="2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TableParagraph"/>
              <w:widowControl w:val="false"/>
              <w:spacing w:lineRule="exact" w:line="210"/>
              <w:ind w:left="107" w:hanging="0"/>
              <w:rPr>
                <w:b/>
                <w:b/>
                <w:w w:val="99"/>
                <w:sz w:val="20"/>
                <w:szCs w:val="20"/>
              </w:rPr>
            </w:pPr>
            <w:r>
              <w:rPr>
                <w:b/>
                <w:w w:val="99"/>
                <w:sz w:val="20"/>
                <w:szCs w:val="20"/>
              </w:rPr>
              <w:t xml:space="preserve">11 </w:t>
            </w:r>
            <w:r>
              <w:rPr>
                <w:rFonts w:eastAsia="Times New Roman" w:cs="Times New Roman"/>
                <w:b/>
                <w:color w:val="auto"/>
                <w:w w:val="99"/>
                <w:kern w:val="0"/>
                <w:sz w:val="20"/>
                <w:szCs w:val="20"/>
                <w:lang w:val="sk-SK" w:eastAsia="en-US" w:bidi="ar-SA"/>
              </w:rPr>
              <w:t>335,86</w:t>
            </w:r>
          </w:p>
        </w:tc>
      </w:tr>
    </w:tbl>
    <w:p>
      <w:pPr>
        <w:pStyle w:val="Normal"/>
        <w:spacing w:lineRule="auto" w:line="360"/>
        <w:jc w:val="both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tbl>
      <w:tblPr>
        <w:tblW w:w="9357" w:type="dxa"/>
        <w:jc w:val="left"/>
        <w:tblInd w:w="234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firstRow="1" w:noVBand="0" w:lastRow="1" w:firstColumn="1" w:lastColumn="1" w:noHBand="0" w:val="01e0"/>
      </w:tblPr>
      <w:tblGrid>
        <w:gridCol w:w="3258"/>
        <w:gridCol w:w="3115"/>
        <w:gridCol w:w="2984"/>
      </w:tblGrid>
      <w:tr>
        <w:trPr>
          <w:trHeight w:val="460" w:hRule="atLeast"/>
        </w:trPr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TableParagraph"/>
              <w:widowControl w:val="false"/>
              <w:spacing w:lineRule="exact" w:line="230"/>
              <w:ind w:left="429" w:right="312" w:hanging="101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Suma</w:t>
            </w:r>
            <w:r>
              <w:rPr>
                <w:b/>
                <w:spacing w:val="-4"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ročných</w:t>
            </w:r>
            <w:r>
              <w:rPr>
                <w:b/>
                <w:spacing w:val="-4"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splátok</w:t>
            </w:r>
            <w:r>
              <w:rPr>
                <w:b/>
                <w:spacing w:val="-6"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vrátane</w:t>
            </w:r>
            <w:r>
              <w:rPr>
                <w:b/>
                <w:spacing w:val="-47"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úhrady</w:t>
            </w:r>
            <w:r>
              <w:rPr>
                <w:b/>
                <w:spacing w:val="-2"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výnosov za rok</w:t>
            </w:r>
            <w:r>
              <w:rPr>
                <w:b/>
                <w:spacing w:val="-2"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2025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TableParagraph"/>
              <w:widowControl w:val="false"/>
              <w:spacing w:lineRule="exact" w:line="230"/>
              <w:ind w:left="1027" w:right="134" w:hanging="876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Skutočné</w:t>
            </w:r>
            <w:r>
              <w:rPr>
                <w:b/>
                <w:spacing w:val="-5"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upravené</w:t>
            </w:r>
            <w:r>
              <w:rPr>
                <w:b/>
                <w:spacing w:val="-4"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bežné</w:t>
            </w:r>
            <w:r>
              <w:rPr>
                <w:b/>
                <w:spacing w:val="-5"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príjmy</w:t>
            </w:r>
            <w:r>
              <w:rPr>
                <w:b/>
                <w:spacing w:val="-47"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k</w:t>
            </w:r>
            <w:r>
              <w:rPr>
                <w:b/>
                <w:spacing w:val="-3"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31.12.2025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TableParagraph"/>
              <w:widowControl w:val="false"/>
              <w:spacing w:lineRule="exact" w:line="228"/>
              <w:ind w:left="681" w:right="677" w:hanging="0"/>
              <w:jc w:val="center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§</w:t>
            </w:r>
            <w:r>
              <w:rPr>
                <w:b/>
                <w:spacing w:val="-2"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17</w:t>
            </w:r>
            <w:r>
              <w:rPr>
                <w:b/>
                <w:spacing w:val="-4"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ods.6</w:t>
            </w:r>
            <w:r>
              <w:rPr>
                <w:b/>
                <w:spacing w:val="-1"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písm.</w:t>
            </w:r>
            <w:r>
              <w:rPr>
                <w:b/>
                <w:spacing w:val="-3"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b)</w:t>
            </w:r>
          </w:p>
        </w:tc>
      </w:tr>
      <w:tr>
        <w:trPr>
          <w:trHeight w:val="275" w:hRule="atLeast"/>
        </w:trPr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11 </w:t>
            </w:r>
            <w:r>
              <w:rPr>
                <w:rFonts w:eastAsia="Times New Roman" w:cs="Times New Roman"/>
                <w:color w:val="auto"/>
                <w:kern w:val="0"/>
                <w:sz w:val="20"/>
                <w:szCs w:val="20"/>
                <w:lang w:val="sk-SK" w:eastAsia="en-US" w:bidi="ar-SA"/>
              </w:rPr>
              <w:t>335,86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56"/>
              <w:ind w:right="1019" w:hanging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</w:t>
            </w:r>
            <w:r>
              <w:rPr>
                <w:rFonts w:eastAsia="Times New Roman" w:cs="Times New Roman"/>
                <w:color w:val="auto"/>
                <w:kern w:val="0"/>
                <w:sz w:val="20"/>
                <w:szCs w:val="20"/>
                <w:lang w:val="sk-SK" w:eastAsia="en-US" w:bidi="ar-SA"/>
              </w:rPr>
              <w:t>211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eastAsia="Times New Roman" w:cs="Times New Roman"/>
                <w:color w:val="auto"/>
                <w:kern w:val="0"/>
                <w:sz w:val="20"/>
                <w:szCs w:val="20"/>
                <w:lang w:val="sk-SK" w:eastAsia="en-US" w:bidi="ar-SA"/>
              </w:rPr>
              <w:t>675,44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56"/>
              <w:ind w:left="10" w:hanging="0"/>
              <w:jc w:val="center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5,36 %</w:t>
            </w:r>
          </w:p>
        </w:tc>
      </w:tr>
    </w:tbl>
    <w:p>
      <w:pPr>
        <w:pStyle w:val="Normal"/>
        <w:spacing w:lineRule="auto" w:line="360"/>
        <w:jc w:val="both"/>
        <w:rPr/>
      </w:pPr>
      <w:r>
        <w:rPr/>
      </w:r>
    </w:p>
    <w:p>
      <w:pPr>
        <w:pStyle w:val="Normal"/>
        <w:spacing w:lineRule="auto" w:line="360"/>
        <w:jc w:val="both"/>
        <w:rPr>
          <w:b/>
          <w:b/>
          <w:sz w:val="28"/>
          <w:szCs w:val="28"/>
        </w:rPr>
      </w:pPr>
      <w:r>
        <w:rPr/>
        <w:t>Zákonná podmienka podľa § 17 ods.6 písm. b) zákona č.583/2004 Z.z. bola splnená.</w:t>
      </w:r>
    </w:p>
    <w:p>
      <w:pPr>
        <w:pStyle w:val="Normal"/>
        <w:jc w:val="both"/>
        <w:rPr>
          <w:b/>
          <w:b/>
          <w:bCs/>
          <w:highlight w:val="yellow"/>
        </w:rPr>
      </w:pPr>
      <w:r>
        <w:rPr>
          <w:b/>
          <w:bCs/>
          <w:highlight w:val="yellow"/>
        </w:rPr>
      </w:r>
    </w:p>
    <w:p>
      <w:pPr>
        <w:pStyle w:val="Normal"/>
        <w:jc w:val="both"/>
        <w:rPr>
          <w:b/>
          <w:b/>
          <w:bCs/>
          <w:highlight w:val="yellow"/>
        </w:rPr>
      </w:pPr>
      <w:r>
        <w:rPr>
          <w:b/>
          <w:bCs/>
          <w:highlight w:val="yellow"/>
        </w:rPr>
      </w:r>
    </w:p>
    <w:p>
      <w:pPr>
        <w:pStyle w:val="Normal"/>
        <w:jc w:val="both"/>
        <w:rPr>
          <w:b/>
          <w:b/>
          <w:bCs/>
          <w:highlight w:val="yellow"/>
        </w:rPr>
      </w:pPr>
      <w:r>
        <w:rPr>
          <w:b/>
          <w:bCs/>
          <w:highlight w:val="yellow"/>
        </w:rPr>
      </w:r>
    </w:p>
    <w:p>
      <w:pPr>
        <w:pStyle w:val="Normal"/>
        <w:jc w:val="both"/>
        <w:rPr>
          <w:b/>
          <w:b/>
          <w:bCs/>
          <w:highlight w:val="yellow"/>
        </w:rPr>
      </w:pPr>
      <w:r>
        <w:rPr>
          <w:b/>
          <w:bCs/>
          <w:highlight w:val="yellow"/>
        </w:rPr>
      </w:r>
    </w:p>
    <w:p>
      <w:pPr>
        <w:pStyle w:val="Normal"/>
        <w:jc w:val="both"/>
        <w:rPr>
          <w:b/>
          <w:b/>
          <w:bCs/>
          <w:highlight w:val="yellow"/>
        </w:rPr>
      </w:pPr>
      <w:r>
        <w:rPr>
          <w:b/>
          <w:bCs/>
          <w:highlight w:val="yellow"/>
        </w:rPr>
      </w:r>
    </w:p>
    <w:p>
      <w:pPr>
        <w:pStyle w:val="Normal"/>
        <w:jc w:val="both"/>
        <w:rPr>
          <w:b/>
          <w:b/>
          <w:bCs/>
          <w:highlight w:val="yellow"/>
        </w:rPr>
      </w:pPr>
      <w:r>
        <w:rPr>
          <w:b/>
          <w:bCs/>
          <w:highlight w:val="yellow"/>
        </w:rPr>
      </w:r>
    </w:p>
    <w:p>
      <w:pPr>
        <w:pStyle w:val="Normal"/>
        <w:jc w:val="both"/>
        <w:rPr>
          <w:b/>
          <w:b/>
          <w:bCs/>
          <w:highlight w:val="yellow"/>
        </w:rPr>
      </w:pPr>
      <w:r>
        <w:rPr>
          <w:b/>
          <w:bCs/>
          <w:highlight w:val="yellow"/>
        </w:rPr>
      </w:r>
    </w:p>
    <w:p>
      <w:pPr>
        <w:pStyle w:val="Normal"/>
        <w:jc w:val="both"/>
        <w:rPr>
          <w:b/>
          <w:b/>
          <w:bCs/>
          <w:highlight w:val="yellow"/>
        </w:rPr>
      </w:pPr>
      <w:r>
        <w:rPr>
          <w:b/>
          <w:bCs/>
          <w:highlight w:val="yellow"/>
        </w:rPr>
      </w:r>
    </w:p>
    <w:p>
      <w:pPr>
        <w:pStyle w:val="Normal"/>
        <w:jc w:val="both"/>
        <w:rPr>
          <w:b/>
          <w:b/>
          <w:bCs/>
          <w:highlight w:val="yellow"/>
        </w:rPr>
      </w:pPr>
      <w:r>
        <w:rPr>
          <w:b/>
          <w:bCs/>
          <w:highlight w:val="yellow"/>
        </w:rPr>
      </w:r>
    </w:p>
    <w:p>
      <w:pPr>
        <w:pStyle w:val="Normal"/>
        <w:jc w:val="both"/>
        <w:rPr>
          <w:b/>
          <w:b/>
          <w:bCs/>
          <w:highlight w:val="yellow"/>
        </w:rPr>
      </w:pPr>
      <w:r>
        <w:rPr>
          <w:b/>
          <w:bCs/>
          <w:highlight w:val="yellow"/>
        </w:rPr>
      </w:r>
    </w:p>
    <w:p>
      <w:pPr>
        <w:pStyle w:val="Normal"/>
        <w:jc w:val="both"/>
        <w:rPr>
          <w:b/>
          <w:b/>
          <w:bCs/>
          <w:highlight w:val="yellow"/>
        </w:rPr>
      </w:pPr>
      <w:r>
        <w:rPr>
          <w:b/>
          <w:bCs/>
          <w:highlight w:val="yellow"/>
        </w:rPr>
      </w:r>
    </w:p>
    <w:p>
      <w:pPr>
        <w:pStyle w:val="Normal"/>
        <w:jc w:val="both"/>
        <w:rPr>
          <w:b/>
          <w:b/>
          <w:bCs/>
          <w:highlight w:val="yellow"/>
        </w:rPr>
      </w:pPr>
      <w:r>
        <w:rPr>
          <w:b/>
          <w:bCs/>
          <w:highlight w:val="yellow"/>
        </w:rPr>
      </w:r>
    </w:p>
    <w:p>
      <w:pPr>
        <w:pStyle w:val="Normal"/>
        <w:ind w:left="720" w:hanging="0"/>
        <w:jc w:val="both"/>
        <w:rPr>
          <w:b/>
          <w:b/>
          <w:bCs/>
          <w:highlight w:val="yellow"/>
        </w:rPr>
      </w:pPr>
      <w:r>
        <w:rPr>
          <w:b/>
          <w:bCs/>
          <w:highlight w:val="yellow"/>
        </w:rPr>
      </w:r>
    </w:p>
    <w:p>
      <w:pPr>
        <w:pStyle w:val="Normal"/>
        <w:spacing w:lineRule="auto" w:line="360"/>
        <w:jc w:val="both"/>
        <w:rPr>
          <w:b/>
          <w:b/>
        </w:rPr>
      </w:pPr>
      <w:r>
        <w:rPr>
          <w:b/>
        </w:rPr>
      </w:r>
    </w:p>
    <w:p>
      <w:pPr>
        <w:pStyle w:val="Normal"/>
        <w:spacing w:lineRule="auto" w:line="360"/>
        <w:jc w:val="both"/>
        <w:rPr>
          <w:b/>
          <w:b/>
        </w:rPr>
      </w:pPr>
      <w:r>
        <w:rPr>
          <w:b/>
        </w:rPr>
        <w:t>8. Prehľad o poskytnutých dotáciách  právnickým osobám a fyzickým osobám - podnikateľom podľa § 7 ods. 4 zákona č.583/2004 Z.z.</w:t>
      </w:r>
    </w:p>
    <w:p>
      <w:pPr>
        <w:pStyle w:val="Normal"/>
        <w:tabs>
          <w:tab w:val="clear" w:pos="720"/>
          <w:tab w:val="left" w:pos="3060" w:leader="none"/>
          <w:tab w:val="left" w:pos="5400" w:leader="none"/>
          <w:tab w:val="left" w:pos="7560" w:leader="none"/>
        </w:tabs>
        <w:spacing w:lineRule="auto" w:line="360"/>
        <w:jc w:val="both"/>
        <w:rPr/>
      </w:pPr>
      <w:r>
        <w:rPr/>
        <w:t xml:space="preserve">Obec v zmysle platného VZN o podmienkach poskytovania dotácií z rozpočtu obce Rakovnica schváleného obecným zastupiteľstvom zo dňa 1.7.2004 poskytla príjemcovi Občianske združenie Naša Rakovnica pre futbalový klub TJ Baník Rakovnica dotáciu vo výške 2 500,- €. Dotácia bola k 31.12.2025 zúčtovaná v súlade s účtovníctvom.  Na výchovno-vzdelávacie účely detí z Rakovnice obec  prispela Centru voľného času v Rožňave čiastkou </w:t>
      </w:r>
      <w:r>
        <w:rPr>
          <w:rFonts w:eastAsia="Times New Roman" w:cs="Times New Roman"/>
          <w:color w:val="auto"/>
          <w:kern w:val="0"/>
          <w:sz w:val="24"/>
          <w:szCs w:val="24"/>
          <w:lang w:val="sk-SK" w:eastAsia="cs-CZ" w:bidi="ar-SA"/>
        </w:rPr>
        <w:t>532</w:t>
      </w:r>
      <w:r>
        <w:rPr/>
        <w:t xml:space="preserve">,00 </w:t>
      </w:r>
      <w:r>
        <w:rPr>
          <w:rFonts w:eastAsia="Times New Roman" w:cs="Times New Roman"/>
          <w:color w:val="auto"/>
          <w:kern w:val="0"/>
          <w:sz w:val="24"/>
          <w:szCs w:val="24"/>
          <w:lang w:val="sk-SK" w:eastAsia="cs-CZ" w:bidi="ar-SA"/>
        </w:rPr>
        <w:t>€</w:t>
      </w:r>
      <w:r>
        <w:rPr/>
        <w:t xml:space="preserve">. </w:t>
      </w:r>
    </w:p>
    <w:p>
      <w:pPr>
        <w:pStyle w:val="Normal"/>
        <w:tabs>
          <w:tab w:val="clear" w:pos="720"/>
          <w:tab w:val="left" w:pos="3060" w:leader="none"/>
          <w:tab w:val="left" w:pos="5400" w:leader="none"/>
          <w:tab w:val="left" w:pos="7560" w:leader="none"/>
        </w:tabs>
        <w:spacing w:lineRule="auto" w:line="360"/>
        <w:jc w:val="both"/>
        <w:rPr/>
      </w:pPr>
      <w:r>
        <w:rPr/>
      </w:r>
    </w:p>
    <w:tbl>
      <w:tblPr>
        <w:tblW w:w="8959" w:type="dxa"/>
        <w:jc w:val="left"/>
        <w:tblInd w:w="3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0" w:lastRow="1" w:firstColumn="1" w:lastColumn="1" w:noHBand="0" w:val="01e0"/>
      </w:tblPr>
      <w:tblGrid>
        <w:gridCol w:w="4423"/>
        <w:gridCol w:w="1988"/>
        <w:gridCol w:w="1558"/>
        <w:gridCol w:w="989"/>
      </w:tblGrid>
      <w:tr>
        <w:trPr/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widowControl w:val="false"/>
              <w:rPr>
                <w:b/>
                <w:b/>
                <w:sz w:val="20"/>
              </w:rPr>
            </w:pPr>
            <w:r>
              <w:rPr>
                <w:b/>
                <w:sz w:val="20"/>
              </w:rPr>
              <w:t>Žiadateľ dotácie</w:t>
            </w:r>
          </w:p>
          <w:p>
            <w:pPr>
              <w:pStyle w:val="Normal"/>
              <w:widowControl w:val="false"/>
              <w:rPr>
                <w:b/>
                <w:b/>
                <w:sz w:val="20"/>
              </w:rPr>
            </w:pPr>
            <w:r>
              <w:rPr>
                <w:b/>
                <w:sz w:val="20"/>
              </w:rPr>
              <w:t>Účelové určenie dotácie : uviesť</w:t>
            </w:r>
          </w:p>
          <w:p>
            <w:pPr>
              <w:pStyle w:val="Normal"/>
              <w:widowControl w:val="false"/>
              <w:rPr>
                <w:b/>
                <w:b/>
                <w:sz w:val="20"/>
              </w:rPr>
            </w:pPr>
            <w:r>
              <w:rPr>
                <w:b/>
                <w:sz w:val="20"/>
              </w:rPr>
              <w:t>- bežné výdavky na .....</w:t>
            </w:r>
          </w:p>
          <w:p>
            <w:pPr>
              <w:pStyle w:val="Normal"/>
              <w:widowControl w:val="false"/>
              <w:rPr>
                <w:b/>
                <w:b/>
                <w:sz w:val="20"/>
              </w:rPr>
            </w:pPr>
            <w:r>
              <w:rPr>
                <w:b/>
                <w:sz w:val="20"/>
              </w:rPr>
              <w:t>- kapitálové výdavky na  ....</w:t>
            </w:r>
          </w:p>
          <w:p>
            <w:pPr>
              <w:pStyle w:val="Normal"/>
              <w:widowControl w:val="false"/>
              <w:jc w:val="center"/>
              <w:rPr>
                <w:b/>
                <w:b/>
                <w:sz w:val="20"/>
              </w:rPr>
            </w:pPr>
            <w:r>
              <w:rPr>
                <w:b/>
                <w:sz w:val="20"/>
              </w:rPr>
              <w:t>- 1 -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widowControl w:val="false"/>
              <w:jc w:val="center"/>
              <w:rPr>
                <w:b/>
                <w:b/>
                <w:sz w:val="20"/>
              </w:rPr>
            </w:pPr>
            <w:r>
              <w:rPr>
                <w:b/>
                <w:sz w:val="20"/>
              </w:rPr>
              <w:t>Suma poskytnutých finančných prostriedkov</w:t>
            </w:r>
          </w:p>
          <w:p>
            <w:pPr>
              <w:pStyle w:val="Normal"/>
              <w:widowControl w:val="false"/>
              <w:jc w:val="center"/>
              <w:rPr>
                <w:b/>
                <w:b/>
                <w:sz w:val="20"/>
              </w:rPr>
            </w:pPr>
            <w:r>
              <w:rPr>
                <w:b/>
                <w:sz w:val="20"/>
              </w:rPr>
            </w:r>
          </w:p>
          <w:p>
            <w:pPr>
              <w:pStyle w:val="Normal"/>
              <w:widowControl w:val="false"/>
              <w:jc w:val="center"/>
              <w:rPr>
                <w:b/>
                <w:b/>
                <w:sz w:val="20"/>
              </w:rPr>
            </w:pPr>
            <w:r>
              <w:rPr>
                <w:b/>
                <w:sz w:val="20"/>
              </w:rPr>
              <w:t>- 2 -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widowControl w:val="false"/>
              <w:jc w:val="center"/>
              <w:rPr>
                <w:b/>
                <w:b/>
                <w:sz w:val="20"/>
              </w:rPr>
            </w:pPr>
            <w:r>
              <w:rPr>
                <w:b/>
                <w:sz w:val="20"/>
              </w:rPr>
              <w:t>Suma skutočne použitých finančných prostriedkov</w:t>
            </w:r>
          </w:p>
          <w:p>
            <w:pPr>
              <w:pStyle w:val="Normal"/>
              <w:widowControl w:val="false"/>
              <w:jc w:val="center"/>
              <w:rPr>
                <w:b/>
                <w:b/>
                <w:sz w:val="20"/>
              </w:rPr>
            </w:pPr>
            <w:r>
              <w:rPr>
                <w:b/>
                <w:sz w:val="20"/>
              </w:rPr>
              <w:t>- 3 -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widowControl w:val="false"/>
              <w:jc w:val="center"/>
              <w:rPr>
                <w:b/>
                <w:b/>
                <w:sz w:val="20"/>
              </w:rPr>
            </w:pPr>
            <w:r>
              <w:rPr>
                <w:b/>
                <w:sz w:val="20"/>
              </w:rPr>
              <w:t>Rozdiel</w:t>
            </w:r>
          </w:p>
          <w:p>
            <w:pPr>
              <w:pStyle w:val="Normal"/>
              <w:widowControl w:val="false"/>
              <w:jc w:val="center"/>
              <w:rPr>
                <w:b/>
                <w:b/>
                <w:sz w:val="20"/>
              </w:rPr>
            </w:pPr>
            <w:r>
              <w:rPr>
                <w:b/>
                <w:sz w:val="20"/>
              </w:rPr>
              <w:t>(stĺ.2 - stĺ.3 )</w:t>
            </w:r>
          </w:p>
          <w:p>
            <w:pPr>
              <w:pStyle w:val="Normal"/>
              <w:widowControl w:val="false"/>
              <w:jc w:val="center"/>
              <w:rPr>
                <w:b/>
                <w:b/>
                <w:sz w:val="20"/>
              </w:rPr>
            </w:pPr>
            <w:r>
              <w:rPr>
                <w:b/>
                <w:sz w:val="20"/>
              </w:rPr>
            </w:r>
          </w:p>
          <w:p>
            <w:pPr>
              <w:pStyle w:val="Normal"/>
              <w:widowControl w:val="false"/>
              <w:jc w:val="center"/>
              <w:rPr>
                <w:sz w:val="20"/>
              </w:rPr>
            </w:pPr>
            <w:r>
              <w:rPr>
                <w:b/>
                <w:sz w:val="20"/>
              </w:rPr>
              <w:t>- 4 -</w:t>
            </w:r>
          </w:p>
        </w:tc>
      </w:tr>
      <w:tr>
        <w:trPr/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sz w:val="20"/>
              </w:rPr>
            </w:pPr>
            <w:r>
              <w:rPr>
                <w:sz w:val="20"/>
              </w:rPr>
              <w:t>Občianske združenie Naša Rakovnica</w:t>
            </w:r>
          </w:p>
          <w:p>
            <w:pPr>
              <w:pStyle w:val="Normal"/>
              <w:widowControl w:val="false"/>
              <w:rPr>
                <w:sz w:val="20"/>
              </w:rPr>
            </w:pPr>
            <w:r>
              <w:rPr>
                <w:sz w:val="20"/>
              </w:rPr>
              <w:t>- náklady spojené so zabezpečením a organizovaním činnosti futbalu TJ Baník Rakovnica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sz w:val="20"/>
              </w:rPr>
            </w:pPr>
            <w:r>
              <w:rPr>
                <w:sz w:val="20"/>
              </w:rPr>
            </w:r>
          </w:p>
          <w:p>
            <w:pPr>
              <w:pStyle w:val="Normal"/>
              <w:widowControl w:val="false"/>
              <w:jc w:val="right"/>
              <w:rPr>
                <w:sz w:val="20"/>
              </w:rPr>
            </w:pPr>
            <w:r>
              <w:rPr>
                <w:sz w:val="20"/>
              </w:rPr>
              <w:t>2 500,00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sz w:val="20"/>
              </w:rPr>
            </w:pPr>
            <w:r>
              <w:rPr>
                <w:sz w:val="20"/>
              </w:rPr>
            </w:r>
          </w:p>
          <w:p>
            <w:pPr>
              <w:pStyle w:val="Normal"/>
              <w:widowControl w:val="false"/>
              <w:jc w:val="right"/>
              <w:rPr>
                <w:sz w:val="20"/>
              </w:rPr>
            </w:pPr>
            <w:r>
              <w:rPr>
                <w:sz w:val="20"/>
              </w:rPr>
              <w:t>2 500,00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sz w:val="20"/>
              </w:rPr>
            </w:pPr>
            <w:r>
              <w:rPr>
                <w:sz w:val="20"/>
              </w:rPr>
            </w:r>
          </w:p>
          <w:p>
            <w:pPr>
              <w:pStyle w:val="Normal"/>
              <w:widowControl w:val="false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</w:tr>
      <w:tr>
        <w:trPr/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sz w:val="20"/>
              </w:rPr>
            </w:pPr>
            <w:r>
              <w:rPr>
                <w:sz w:val="20"/>
              </w:rPr>
              <w:t>Príspevok pri narodení dieťaťa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</w:tr>
      <w:tr>
        <w:trPr/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sz w:val="20"/>
              </w:rPr>
            </w:pPr>
            <w:r>
              <w:rPr>
                <w:sz w:val="20"/>
              </w:rPr>
              <w:t>Príspevok Centrum voľného času Rožňava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sz w:val="20"/>
              </w:rPr>
            </w:pPr>
            <w:r>
              <w:rPr>
                <w:rFonts w:eastAsia="Times New Roman" w:cs="Times New Roman"/>
                <w:color w:val="auto"/>
                <w:kern w:val="0"/>
                <w:sz w:val="20"/>
                <w:szCs w:val="24"/>
                <w:lang w:val="sk-SK" w:eastAsia="cs-CZ" w:bidi="ar-SA"/>
              </w:rPr>
              <w:t>532</w:t>
            </w:r>
            <w:r>
              <w:rPr>
                <w:sz w:val="20"/>
              </w:rPr>
              <w:t>,00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sz w:val="20"/>
              </w:rPr>
            </w:pPr>
            <w:r>
              <w:rPr>
                <w:rFonts w:eastAsia="Times New Roman" w:cs="Times New Roman"/>
                <w:color w:val="auto"/>
                <w:kern w:val="0"/>
                <w:sz w:val="20"/>
                <w:szCs w:val="24"/>
                <w:lang w:val="sk-SK" w:eastAsia="cs-CZ" w:bidi="ar-SA"/>
              </w:rPr>
              <w:t>532</w:t>
            </w:r>
            <w:r>
              <w:rPr>
                <w:sz w:val="20"/>
              </w:rPr>
              <w:t>,00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</w:tr>
    </w:tbl>
    <w:p>
      <w:pPr>
        <w:pStyle w:val="Normal"/>
        <w:spacing w:lineRule="auto" w:line="360"/>
        <w:jc w:val="both"/>
        <w:rPr/>
      </w:pPr>
      <w:r>
        <w:rPr/>
      </w:r>
      <w:r>
        <w:br w:type="page"/>
      </w:r>
    </w:p>
    <w:p>
      <w:pPr>
        <w:pStyle w:val="Normal"/>
        <w:rPr>
          <w:b/>
          <w:b/>
        </w:rPr>
      </w:pPr>
      <w:r>
        <w:rPr>
          <w:b/>
        </w:rPr>
        <w:t xml:space="preserve">9. Finančné usporiadanie vzťahov voči </w:t>
      </w:r>
    </w:p>
    <w:p>
      <w:pPr>
        <w:pStyle w:val="Normal"/>
        <w:numPr>
          <w:ilvl w:val="1"/>
          <w:numId w:val="3"/>
        </w:numPr>
        <w:tabs>
          <w:tab w:val="clear" w:pos="720"/>
          <w:tab w:val="left" w:pos="284" w:leader="none"/>
        </w:tabs>
        <w:spacing w:lineRule="auto" w:line="360"/>
        <w:ind w:left="284" w:hanging="284"/>
        <w:rPr/>
      </w:pPr>
      <w:r>
        <w:rPr/>
        <w:t>zriadeným a založeným právnickým osobám</w:t>
      </w:r>
    </w:p>
    <w:p>
      <w:pPr>
        <w:pStyle w:val="Normal"/>
        <w:numPr>
          <w:ilvl w:val="1"/>
          <w:numId w:val="3"/>
        </w:numPr>
        <w:tabs>
          <w:tab w:val="clear" w:pos="720"/>
          <w:tab w:val="left" w:pos="284" w:leader="none"/>
        </w:tabs>
        <w:spacing w:lineRule="auto" w:line="360"/>
        <w:ind w:left="284" w:hanging="284"/>
        <w:rPr/>
      </w:pPr>
      <w:r>
        <w:rPr/>
        <w:t>štátnemu rozpočtu</w:t>
      </w:r>
    </w:p>
    <w:p>
      <w:pPr>
        <w:pStyle w:val="Normal"/>
        <w:numPr>
          <w:ilvl w:val="1"/>
          <w:numId w:val="3"/>
        </w:numPr>
        <w:tabs>
          <w:tab w:val="clear" w:pos="720"/>
          <w:tab w:val="left" w:pos="284" w:leader="none"/>
        </w:tabs>
        <w:spacing w:lineRule="auto" w:line="360"/>
        <w:ind w:left="284" w:hanging="284"/>
        <w:rPr/>
      </w:pPr>
      <w:r>
        <w:rPr/>
        <w:t>štátnym fondom</w:t>
      </w:r>
    </w:p>
    <w:p>
      <w:pPr>
        <w:pStyle w:val="Normal"/>
        <w:numPr>
          <w:ilvl w:val="1"/>
          <w:numId w:val="3"/>
        </w:numPr>
        <w:tabs>
          <w:tab w:val="clear" w:pos="720"/>
          <w:tab w:val="left" w:pos="284" w:leader="none"/>
        </w:tabs>
        <w:spacing w:lineRule="auto" w:line="360"/>
        <w:ind w:left="284" w:hanging="284"/>
        <w:rPr/>
      </w:pPr>
      <w:r>
        <w:rPr/>
        <w:t>rozpočtom iných obcí</w:t>
      </w:r>
    </w:p>
    <w:p>
      <w:pPr>
        <w:pStyle w:val="Normal"/>
        <w:numPr>
          <w:ilvl w:val="1"/>
          <w:numId w:val="3"/>
        </w:numPr>
        <w:tabs>
          <w:tab w:val="clear" w:pos="720"/>
          <w:tab w:val="left" w:pos="284" w:leader="none"/>
        </w:tabs>
        <w:spacing w:lineRule="auto" w:line="360"/>
        <w:ind w:left="284" w:hanging="284"/>
        <w:rPr/>
      </w:pPr>
      <w:r>
        <w:rPr/>
        <w:t>rozpočtom VÚC</w:t>
      </w:r>
    </w:p>
    <w:p>
      <w:pPr>
        <w:pStyle w:val="Normal"/>
        <w:spacing w:lineRule="auto" w:line="360"/>
        <w:jc w:val="both"/>
        <w:rPr/>
      </w:pPr>
      <w:r>
        <w:rPr/>
        <w:t>V súlade s ustanovením § 16 ods.2 zákona č.583/2004 o rozpočtových pravidlách územnej samosprávy a o zmene a doplnení niektorých zákonov v znení neskorších predpisov má obec finančne usporiadať svoje hospodárenie vrátane finančných vzťahov k zriadeným alebo založeným právnickým osobám,  fyzickým osobám - podnikateľom a právnickým osobám, ktorým poskytli finančné prostriedky svojho rozpočtu, ďalej usporiadať finančné vzťahy k štátnemu rozpočtu, štátnym fondom, rozpočtom iných obcí a k rozpočtom VÚC.</w:t>
      </w:r>
    </w:p>
    <w:p>
      <w:pPr>
        <w:pStyle w:val="Normal"/>
        <w:numPr>
          <w:ilvl w:val="0"/>
          <w:numId w:val="4"/>
        </w:numPr>
        <w:tabs>
          <w:tab w:val="clear" w:pos="720"/>
          <w:tab w:val="left" w:pos="284" w:leader="none"/>
        </w:tabs>
        <w:ind w:left="426" w:hanging="426"/>
        <w:jc w:val="both"/>
        <w:rPr>
          <w:color w:val="0000FF"/>
          <w:u w:val="single"/>
        </w:rPr>
      </w:pPr>
      <w:r>
        <w:rPr>
          <w:color w:val="0000FF"/>
          <w:u w:val="single"/>
        </w:rPr>
        <w:t>Finančné usporiadanie voči štátnemu rozpočtu:</w:t>
      </w:r>
    </w:p>
    <w:p>
      <w:pPr>
        <w:pStyle w:val="Normal"/>
        <w:ind w:left="360" w:hanging="0"/>
        <w:jc w:val="both"/>
        <w:rPr/>
      </w:pPr>
      <w:r>
        <w:rPr/>
      </w:r>
    </w:p>
    <w:tbl>
      <w:tblPr>
        <w:tblW w:w="8955" w:type="dxa"/>
        <w:jc w:val="left"/>
        <w:tblInd w:w="3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0" w:lastRow="1" w:firstColumn="1" w:lastColumn="1" w:noHBand="0" w:val="01e0"/>
      </w:tblPr>
      <w:tblGrid>
        <w:gridCol w:w="1473"/>
        <w:gridCol w:w="3402"/>
        <w:gridCol w:w="1389"/>
        <w:gridCol w:w="1558"/>
        <w:gridCol w:w="1133"/>
      </w:tblGrid>
      <w:tr>
        <w:trPr>
          <w:trHeight w:val="1151" w:hRule="atLeast"/>
        </w:trPr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widowControl w:val="false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Poskytovateľ</w:t>
            </w:r>
          </w:p>
          <w:p>
            <w:pPr>
              <w:pStyle w:val="Normal"/>
              <w:widowControl w:val="false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</w:t>
            </w:r>
            <w:r>
              <w:rPr>
                <w:b/>
                <w:sz w:val="20"/>
                <w:szCs w:val="20"/>
              </w:rPr>
              <w:t>- 1 -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widowControl w:val="false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Účelové určenie grantu, transferu uviesť : školstvo, matrika, ....</w:t>
            </w:r>
          </w:p>
          <w:p>
            <w:pPr>
              <w:pStyle w:val="Normal"/>
              <w:widowControl w:val="false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- bežné výdavky</w:t>
            </w:r>
          </w:p>
          <w:p>
            <w:pPr>
              <w:pStyle w:val="Normal"/>
              <w:widowControl w:val="false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- kapitálové výdavky</w:t>
            </w:r>
          </w:p>
          <w:p>
            <w:pPr>
              <w:pStyle w:val="Normal"/>
              <w:widowControl w:val="false"/>
              <w:jc w:val="center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- 2 -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widowControl w:val="false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Suma  poskytnutých</w:t>
            </w:r>
          </w:p>
          <w:p>
            <w:pPr>
              <w:pStyle w:val="Normal"/>
              <w:widowControl w:val="false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finančných prostriedkov</w:t>
            </w:r>
          </w:p>
          <w:p>
            <w:pPr>
              <w:pStyle w:val="Normal"/>
              <w:widowControl w:val="false"/>
              <w:jc w:val="center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- 3 -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widowControl w:val="false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Suma skutočne použitých finančných prostriedkov</w:t>
            </w:r>
          </w:p>
          <w:p>
            <w:pPr>
              <w:pStyle w:val="Normal"/>
              <w:widowControl w:val="false"/>
              <w:jc w:val="center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- 4 -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widowControl w:val="false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Rozdiel</w:t>
            </w:r>
          </w:p>
          <w:p>
            <w:pPr>
              <w:pStyle w:val="Normal"/>
              <w:widowControl w:val="false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(stĺ.3 - stĺ.4 )</w:t>
            </w:r>
          </w:p>
          <w:p>
            <w:pPr>
              <w:pStyle w:val="Normal"/>
              <w:widowControl w:val="false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- 5 -</w:t>
            </w:r>
          </w:p>
        </w:tc>
      </w:tr>
      <w:tr>
        <w:trPr/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MV SR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Dotácia na register adries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20"/>
                <w:tab w:val="center" w:pos="702" w:leader="none"/>
                <w:tab w:val="right" w:pos="1404" w:leader="none"/>
              </w:tabs>
              <w:jc w:val="right"/>
              <w:rPr>
                <w:rFonts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sk-SK" w:eastAsia="cs-CZ" w:bidi="ar-SA"/>
              </w:rPr>
            </w:pPr>
            <w:r>
              <w:rPr>
                <w:rFonts w:eastAsia="Times New Roman" w:cs="Times New Roman"/>
                <w:color w:val="auto"/>
                <w:kern w:val="0"/>
                <w:sz w:val="20"/>
                <w:szCs w:val="20"/>
                <w:lang w:val="sk-SK" w:eastAsia="cs-CZ" w:bidi="ar-SA"/>
              </w:rPr>
              <w:t>22,80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20"/>
                <w:tab w:val="center" w:pos="702" w:leader="none"/>
                <w:tab w:val="right" w:pos="1404" w:leader="none"/>
              </w:tabs>
              <w:jc w:val="right"/>
              <w:rPr>
                <w:rFonts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sk-SK" w:eastAsia="cs-CZ" w:bidi="ar-SA"/>
              </w:rPr>
            </w:pPr>
            <w:r>
              <w:rPr>
                <w:rFonts w:eastAsia="Times New Roman" w:cs="Times New Roman"/>
                <w:color w:val="auto"/>
                <w:kern w:val="0"/>
                <w:sz w:val="20"/>
                <w:szCs w:val="20"/>
                <w:lang w:val="sk-SK" w:eastAsia="cs-CZ" w:bidi="ar-SA"/>
              </w:rPr>
              <w:t>22,80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</w:tr>
      <w:tr>
        <w:trPr/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MV SR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Dotácia na REGOB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20"/>
                <w:tab w:val="center" w:pos="702" w:leader="none"/>
                <w:tab w:val="right" w:pos="1404" w:leader="none"/>
              </w:tabs>
              <w:jc w:val="right"/>
              <w:rPr>
                <w:rFonts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sk-SK" w:eastAsia="cs-CZ" w:bidi="ar-SA"/>
              </w:rPr>
            </w:pPr>
            <w:r>
              <w:rPr>
                <w:rFonts w:eastAsia="Times New Roman" w:cs="Times New Roman"/>
                <w:color w:val="auto"/>
                <w:kern w:val="0"/>
                <w:sz w:val="20"/>
                <w:szCs w:val="20"/>
                <w:lang w:val="sk-SK" w:eastAsia="cs-CZ" w:bidi="ar-SA"/>
              </w:rPr>
              <w:t>190,41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20"/>
                <w:tab w:val="center" w:pos="702" w:leader="none"/>
                <w:tab w:val="right" w:pos="1404" w:leader="none"/>
              </w:tabs>
              <w:jc w:val="right"/>
              <w:rPr>
                <w:rFonts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sk-SK" w:eastAsia="cs-CZ" w:bidi="ar-SA"/>
              </w:rPr>
            </w:pPr>
            <w:r>
              <w:rPr>
                <w:rFonts w:eastAsia="Times New Roman" w:cs="Times New Roman"/>
                <w:color w:val="auto"/>
                <w:kern w:val="0"/>
                <w:sz w:val="20"/>
                <w:szCs w:val="20"/>
                <w:lang w:val="sk-SK" w:eastAsia="cs-CZ" w:bidi="ar-SA"/>
              </w:rPr>
              <w:t>190,41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</w:tr>
      <w:tr>
        <w:trPr/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MV SR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Dotácia na údržbu vojnových hrobov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>
                <w:rFonts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sk-SK" w:eastAsia="cs-CZ" w:bidi="ar-SA"/>
              </w:rPr>
            </w:pPr>
            <w:r>
              <w:rPr>
                <w:rFonts w:eastAsia="Times New Roman" w:cs="Times New Roman"/>
                <w:color w:val="auto"/>
                <w:kern w:val="0"/>
                <w:sz w:val="20"/>
                <w:szCs w:val="20"/>
                <w:lang w:val="sk-SK" w:eastAsia="cs-CZ" w:bidi="ar-SA"/>
              </w:rPr>
              <w:t>140,70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>
                <w:rFonts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sk-SK" w:eastAsia="cs-CZ" w:bidi="ar-SA"/>
              </w:rPr>
            </w:pPr>
            <w:r>
              <w:rPr>
                <w:rFonts w:eastAsia="Times New Roman" w:cs="Times New Roman"/>
                <w:color w:val="auto"/>
                <w:kern w:val="0"/>
                <w:sz w:val="20"/>
                <w:szCs w:val="20"/>
                <w:lang w:val="sk-SK" w:eastAsia="cs-CZ" w:bidi="ar-SA"/>
              </w:rPr>
              <w:t>140,70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</w:r>
          </w:p>
        </w:tc>
      </w:tr>
      <w:tr>
        <w:trPr/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MV SR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Dotácia na životné prostredie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>
                <w:rFonts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sk-SK" w:eastAsia="cs-CZ" w:bidi="ar-SA"/>
              </w:rPr>
            </w:pPr>
            <w:r>
              <w:rPr>
                <w:rFonts w:eastAsia="Times New Roman" w:cs="Times New Roman"/>
                <w:color w:val="auto"/>
                <w:kern w:val="0"/>
                <w:sz w:val="20"/>
                <w:szCs w:val="20"/>
                <w:lang w:val="sk-SK" w:eastAsia="cs-CZ" w:bidi="ar-SA"/>
              </w:rPr>
              <w:t>75,41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>
                <w:rFonts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sk-SK" w:eastAsia="cs-CZ" w:bidi="ar-SA"/>
              </w:rPr>
            </w:pPr>
            <w:r>
              <w:rPr>
                <w:rFonts w:eastAsia="Times New Roman" w:cs="Times New Roman"/>
                <w:color w:val="auto"/>
                <w:kern w:val="0"/>
                <w:sz w:val="20"/>
                <w:szCs w:val="20"/>
                <w:lang w:val="sk-SK" w:eastAsia="cs-CZ" w:bidi="ar-SA"/>
              </w:rPr>
              <w:t>75,41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</w:tr>
      <w:tr>
        <w:trPr/>
        <w:tc>
          <w:tcPr>
            <w:tcW w:w="14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MV SR</w:t>
            </w:r>
          </w:p>
        </w:tc>
        <w:tc>
          <w:tcPr>
            <w:tcW w:w="34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CPKE refundácia AED</w:t>
            </w:r>
          </w:p>
        </w:tc>
        <w:tc>
          <w:tcPr>
            <w:tcW w:w="13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>
                <w:rFonts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sk-SK" w:eastAsia="cs-CZ" w:bidi="ar-SA"/>
              </w:rPr>
            </w:pPr>
            <w:r>
              <w:rPr>
                <w:rFonts w:eastAsia="Times New Roman" w:cs="Times New Roman"/>
                <w:color w:val="auto"/>
                <w:kern w:val="0"/>
                <w:sz w:val="20"/>
                <w:szCs w:val="20"/>
                <w:lang w:val="sk-SK" w:eastAsia="cs-CZ" w:bidi="ar-SA"/>
              </w:rPr>
              <w:t>130,00</w:t>
            </w:r>
          </w:p>
        </w:tc>
        <w:tc>
          <w:tcPr>
            <w:tcW w:w="155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>
                <w:rFonts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sk-SK" w:eastAsia="cs-CZ" w:bidi="ar-SA"/>
              </w:rPr>
            </w:pPr>
            <w:r>
              <w:rPr>
                <w:rFonts w:eastAsia="Times New Roman" w:cs="Times New Roman"/>
                <w:color w:val="auto"/>
                <w:kern w:val="0"/>
                <w:sz w:val="20"/>
                <w:szCs w:val="20"/>
                <w:lang w:val="sk-SK" w:eastAsia="cs-CZ" w:bidi="ar-SA"/>
              </w:rPr>
              <w:t>130,00</w:t>
            </w:r>
          </w:p>
        </w:tc>
        <w:tc>
          <w:tcPr>
            <w:tcW w:w="11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</w:tr>
      <w:tr>
        <w:trPr/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MPSVaR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Dotácia na mzdy – Sociálna služba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59 </w:t>
            </w:r>
            <w:r>
              <w:rPr>
                <w:rFonts w:eastAsia="Times New Roman" w:cs="Times New Roman"/>
                <w:color w:val="auto"/>
                <w:kern w:val="0"/>
                <w:sz w:val="20"/>
                <w:szCs w:val="20"/>
                <w:lang w:val="sk-SK" w:eastAsia="cs-CZ" w:bidi="ar-SA"/>
              </w:rPr>
              <w:t>100</w:t>
            </w:r>
            <w:r>
              <w:rPr>
                <w:sz w:val="20"/>
                <w:szCs w:val="20"/>
              </w:rPr>
              <w:t>,00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>
                <w:rFonts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sk-SK" w:eastAsia="cs-CZ" w:bidi="ar-SA"/>
              </w:rPr>
            </w:pPr>
            <w:r>
              <w:rPr>
                <w:rFonts w:eastAsia="Times New Roman" w:cs="Times New Roman"/>
                <w:color w:val="auto"/>
                <w:kern w:val="0"/>
                <w:sz w:val="20"/>
                <w:szCs w:val="20"/>
                <w:lang w:val="sk-SK" w:eastAsia="cs-CZ" w:bidi="ar-SA"/>
              </w:rPr>
              <w:t>49 538,56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>
                <w:b/>
                <w:b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color w:val="auto"/>
                <w:kern w:val="0"/>
                <w:sz w:val="20"/>
                <w:szCs w:val="20"/>
                <w:lang w:val="sk-SK" w:eastAsia="cs-CZ" w:bidi="ar-SA"/>
              </w:rPr>
              <w:t>9</w:t>
            </w:r>
            <w:r>
              <w:rPr>
                <w:b/>
                <w:sz w:val="20"/>
                <w:szCs w:val="20"/>
              </w:rPr>
              <w:t> </w:t>
            </w:r>
            <w:r>
              <w:rPr>
                <w:rFonts w:eastAsia="Times New Roman" w:cs="Times New Roman"/>
                <w:b/>
                <w:color w:val="auto"/>
                <w:kern w:val="0"/>
                <w:sz w:val="20"/>
                <w:szCs w:val="20"/>
                <w:lang w:val="sk-SK" w:eastAsia="cs-CZ" w:bidi="ar-SA"/>
              </w:rPr>
              <w:t>561,44</w:t>
            </w:r>
          </w:p>
        </w:tc>
      </w:tr>
      <w:tr>
        <w:trPr/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MPSVaR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sk-SK" w:eastAsia="cs-CZ" w:bidi="ar-SA"/>
              </w:rPr>
            </w:pPr>
            <w:r>
              <w:rPr>
                <w:rFonts w:eastAsia="Times New Roman" w:cs="Times New Roman"/>
                <w:color w:val="auto"/>
                <w:kern w:val="0"/>
                <w:sz w:val="20"/>
                <w:szCs w:val="20"/>
                <w:lang w:val="sk-SK" w:eastAsia="cs-CZ" w:bidi="ar-SA"/>
              </w:rPr>
              <w:t>Dotácia na stabilizačný príspevok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>
                <w:rFonts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sk-SK" w:eastAsia="cs-CZ" w:bidi="ar-SA"/>
              </w:rPr>
            </w:pPr>
            <w:r>
              <w:rPr>
                <w:rFonts w:eastAsia="Times New Roman" w:cs="Times New Roman"/>
                <w:color w:val="auto"/>
                <w:kern w:val="0"/>
                <w:sz w:val="20"/>
                <w:szCs w:val="20"/>
                <w:lang w:val="sk-SK" w:eastAsia="cs-CZ" w:bidi="ar-SA"/>
              </w:rPr>
              <w:t>1 600,00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>
                <w:rFonts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sk-SK" w:eastAsia="cs-CZ" w:bidi="ar-SA"/>
              </w:rPr>
            </w:pPr>
            <w:r>
              <w:rPr>
                <w:rFonts w:eastAsia="Times New Roman" w:cs="Times New Roman"/>
                <w:color w:val="auto"/>
                <w:kern w:val="0"/>
                <w:sz w:val="20"/>
                <w:szCs w:val="20"/>
                <w:lang w:val="sk-SK" w:eastAsia="cs-CZ" w:bidi="ar-SA"/>
              </w:rPr>
              <w:t>1 600,00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</w:tr>
      <w:tr>
        <w:trPr/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MF SR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Dotácia na </w:t>
            </w:r>
            <w:r>
              <w:rPr>
                <w:rFonts w:eastAsia="Times New Roman" w:cs="Times New Roman"/>
                <w:color w:val="auto"/>
                <w:kern w:val="0"/>
                <w:sz w:val="20"/>
                <w:szCs w:val="20"/>
                <w:lang w:val="sk-SK" w:eastAsia="cs-CZ" w:bidi="ar-SA"/>
              </w:rPr>
              <w:t>odmenu 800 €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>
                <w:rFonts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sk-SK" w:eastAsia="cs-CZ" w:bidi="ar-SA"/>
              </w:rPr>
            </w:pPr>
            <w:r>
              <w:rPr>
                <w:rFonts w:eastAsia="Times New Roman" w:cs="Times New Roman"/>
                <w:color w:val="auto"/>
                <w:kern w:val="0"/>
                <w:sz w:val="20"/>
                <w:szCs w:val="20"/>
                <w:lang w:val="sk-SK" w:eastAsia="cs-CZ" w:bidi="ar-SA"/>
              </w:rPr>
              <w:t>6 538,00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>
                <w:rFonts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sk-SK" w:eastAsia="cs-CZ" w:bidi="ar-SA"/>
              </w:rPr>
            </w:pPr>
            <w:r>
              <w:rPr>
                <w:rFonts w:eastAsia="Times New Roman" w:cs="Times New Roman"/>
                <w:color w:val="auto"/>
                <w:kern w:val="0"/>
                <w:sz w:val="20"/>
                <w:szCs w:val="20"/>
                <w:lang w:val="sk-SK" w:eastAsia="cs-CZ" w:bidi="ar-SA"/>
              </w:rPr>
              <w:t>6 538,00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</w:tr>
      <w:tr>
        <w:trPr/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MF SR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Dotácia - výjazdové rokovanie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6 000,00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>
                <w:rFonts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sk-SK" w:eastAsia="cs-CZ" w:bidi="ar-SA"/>
              </w:rPr>
            </w:pPr>
            <w:r>
              <w:rPr>
                <w:rFonts w:eastAsia="Times New Roman" w:cs="Times New Roman"/>
                <w:color w:val="auto"/>
                <w:kern w:val="0"/>
                <w:sz w:val="20"/>
                <w:szCs w:val="20"/>
                <w:lang w:val="sk-SK" w:eastAsia="cs-CZ" w:bidi="ar-SA"/>
              </w:rPr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6 000,00</w:t>
            </w:r>
          </w:p>
        </w:tc>
      </w:tr>
      <w:tr>
        <w:trPr/>
        <w:tc>
          <w:tcPr>
            <w:tcW w:w="14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MIRRI</w:t>
            </w:r>
          </w:p>
        </w:tc>
        <w:tc>
          <w:tcPr>
            <w:tcW w:w="34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Dotácia - Transfer kapitálové výdavky</w:t>
            </w:r>
          </w:p>
        </w:tc>
        <w:tc>
          <w:tcPr>
            <w:tcW w:w="13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18 611,45</w:t>
            </w:r>
          </w:p>
        </w:tc>
        <w:tc>
          <w:tcPr>
            <w:tcW w:w="155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>
                <w:rFonts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sk-SK" w:eastAsia="cs-CZ" w:bidi="ar-SA"/>
              </w:rPr>
            </w:pPr>
            <w:r>
              <w:rPr>
                <w:rFonts w:eastAsia="Times New Roman" w:cs="Times New Roman"/>
                <w:color w:val="auto"/>
                <w:kern w:val="0"/>
                <w:sz w:val="20"/>
                <w:szCs w:val="20"/>
                <w:lang w:val="sk-SK" w:eastAsia="cs-CZ" w:bidi="ar-SA"/>
              </w:rPr>
            </w:r>
          </w:p>
        </w:tc>
        <w:tc>
          <w:tcPr>
            <w:tcW w:w="11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18 611,45</w:t>
            </w:r>
          </w:p>
        </w:tc>
      </w:tr>
      <w:tr>
        <w:trPr/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MPSVaR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Dobrovoľná požiarna ochrana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3 000,00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3 000,00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</w:tr>
      <w:tr>
        <w:trPr/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MPSVaR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Osobitný príjemca – prídavok na dieťa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>
                <w:rFonts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sk-SK" w:eastAsia="cs-CZ" w:bidi="ar-SA"/>
              </w:rPr>
            </w:pPr>
            <w:r>
              <w:rPr>
                <w:rFonts w:eastAsia="Times New Roman" w:cs="Times New Roman"/>
                <w:color w:val="auto"/>
                <w:kern w:val="0"/>
                <w:sz w:val="20"/>
                <w:szCs w:val="20"/>
                <w:lang w:val="sk-SK" w:eastAsia="cs-CZ" w:bidi="ar-SA"/>
              </w:rPr>
              <w:t>360,00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>
                <w:rFonts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sk-SK" w:eastAsia="cs-CZ" w:bidi="ar-SA"/>
              </w:rPr>
            </w:pPr>
            <w:r>
              <w:rPr>
                <w:rFonts w:eastAsia="Times New Roman" w:cs="Times New Roman"/>
                <w:color w:val="auto"/>
                <w:kern w:val="0"/>
                <w:sz w:val="20"/>
                <w:szCs w:val="20"/>
                <w:lang w:val="sk-SK" w:eastAsia="cs-CZ" w:bidi="ar-SA"/>
              </w:rPr>
              <w:t>360,00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</w:r>
          </w:p>
        </w:tc>
      </w:tr>
      <w:tr>
        <w:trPr/>
        <w:tc>
          <w:tcPr>
            <w:tcW w:w="14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MPSVaR</w:t>
            </w:r>
          </w:p>
        </w:tc>
        <w:tc>
          <w:tcPr>
            <w:tcW w:w="34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Dotácia na aktivačnú činnosť PUPN</w:t>
            </w:r>
          </w:p>
        </w:tc>
        <w:tc>
          <w:tcPr>
            <w:tcW w:w="13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>
                <w:rFonts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sk-SK" w:eastAsia="cs-CZ" w:bidi="ar-SA"/>
              </w:rPr>
            </w:pPr>
            <w:r>
              <w:rPr>
                <w:rFonts w:eastAsia="Times New Roman" w:cs="Times New Roman"/>
                <w:color w:val="auto"/>
                <w:kern w:val="0"/>
                <w:sz w:val="20"/>
                <w:szCs w:val="20"/>
                <w:lang w:val="sk-SK" w:eastAsia="cs-CZ" w:bidi="ar-SA"/>
              </w:rPr>
              <w:t>383,22</w:t>
            </w:r>
          </w:p>
        </w:tc>
        <w:tc>
          <w:tcPr>
            <w:tcW w:w="155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>
                <w:rFonts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sk-SK" w:eastAsia="cs-CZ" w:bidi="ar-SA"/>
              </w:rPr>
            </w:pPr>
            <w:r>
              <w:rPr>
                <w:rFonts w:eastAsia="Times New Roman" w:cs="Times New Roman"/>
                <w:color w:val="auto"/>
                <w:kern w:val="0"/>
                <w:sz w:val="20"/>
                <w:szCs w:val="20"/>
                <w:lang w:val="sk-SK" w:eastAsia="cs-CZ" w:bidi="ar-SA"/>
              </w:rPr>
              <w:t>383,22</w:t>
            </w:r>
          </w:p>
        </w:tc>
        <w:tc>
          <w:tcPr>
            <w:tcW w:w="11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</w:r>
          </w:p>
        </w:tc>
      </w:tr>
      <w:tr>
        <w:trPr/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Sponzori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Bežné transfery – sponzoring, granty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>
                <w:rFonts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sk-SK" w:eastAsia="cs-CZ" w:bidi="ar-SA"/>
              </w:rPr>
            </w:pPr>
            <w:r>
              <w:rPr>
                <w:rFonts w:eastAsia="Times New Roman" w:cs="Times New Roman"/>
                <w:color w:val="auto"/>
                <w:kern w:val="0"/>
                <w:sz w:val="20"/>
                <w:szCs w:val="20"/>
                <w:lang w:val="sk-SK" w:eastAsia="cs-CZ" w:bidi="ar-SA"/>
              </w:rPr>
              <w:t>910,00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>
                <w:rFonts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sk-SK" w:eastAsia="cs-CZ" w:bidi="ar-SA"/>
              </w:rPr>
            </w:pPr>
            <w:r>
              <w:rPr>
                <w:rFonts w:eastAsia="Times New Roman" w:cs="Times New Roman"/>
                <w:color w:val="auto"/>
                <w:kern w:val="0"/>
                <w:sz w:val="20"/>
                <w:szCs w:val="20"/>
                <w:lang w:val="sk-SK" w:eastAsia="cs-CZ" w:bidi="ar-SA"/>
              </w:rPr>
              <w:t>910,00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</w:r>
          </w:p>
        </w:tc>
      </w:tr>
      <w:tr>
        <w:trPr/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MŽP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Bežné transfery vrámci verejnej správy - envirofond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>
                <w:rFonts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sk-SK" w:eastAsia="cs-CZ" w:bidi="ar-SA"/>
              </w:rPr>
            </w:pPr>
            <w:r>
              <w:rPr>
                <w:rFonts w:eastAsia="Times New Roman" w:cs="Times New Roman"/>
                <w:color w:val="auto"/>
                <w:kern w:val="0"/>
                <w:sz w:val="20"/>
                <w:szCs w:val="20"/>
                <w:lang w:val="sk-SK" w:eastAsia="cs-CZ" w:bidi="ar-SA"/>
              </w:rPr>
              <w:t>731,26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>
                <w:rFonts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sk-SK" w:eastAsia="cs-CZ" w:bidi="ar-SA"/>
              </w:rPr>
            </w:pPr>
            <w:r>
              <w:rPr>
                <w:rFonts w:eastAsia="Times New Roman" w:cs="Times New Roman"/>
                <w:color w:val="auto"/>
                <w:kern w:val="0"/>
                <w:sz w:val="20"/>
                <w:szCs w:val="20"/>
                <w:lang w:val="sk-SK" w:eastAsia="cs-CZ" w:bidi="ar-SA"/>
              </w:rPr>
              <w:t>731,26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</w:r>
          </w:p>
        </w:tc>
      </w:tr>
      <w:tr>
        <w:trPr/>
        <w:tc>
          <w:tcPr>
            <w:tcW w:w="14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UÚPV SR</w:t>
            </w:r>
          </w:p>
        </w:tc>
        <w:tc>
          <w:tcPr>
            <w:tcW w:w="34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Dotácia - Úrad pre územné plánovanie a výstavbu Slovenskej republiky</w:t>
            </w:r>
          </w:p>
        </w:tc>
        <w:tc>
          <w:tcPr>
            <w:tcW w:w="13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945,75</w:t>
            </w:r>
          </w:p>
        </w:tc>
        <w:tc>
          <w:tcPr>
            <w:tcW w:w="155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945,75</w:t>
            </w:r>
          </w:p>
        </w:tc>
        <w:tc>
          <w:tcPr>
            <w:tcW w:w="11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</w:tr>
      <w:tr>
        <w:trPr/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 p o l u :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>
                <w:b/>
                <w:b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color w:val="auto"/>
                <w:kern w:val="0"/>
                <w:sz w:val="20"/>
                <w:szCs w:val="20"/>
                <w:lang w:val="sk-SK" w:eastAsia="cs-CZ" w:bidi="ar-SA"/>
              </w:rPr>
              <w:t>9</w:t>
            </w:r>
            <w:r>
              <w:rPr>
                <w:rFonts w:eastAsia="Times New Roman" w:cs="Times New Roman"/>
                <w:b/>
                <w:color w:val="auto"/>
                <w:kern w:val="0"/>
                <w:sz w:val="20"/>
                <w:szCs w:val="20"/>
                <w:lang w:val="sk-SK" w:eastAsia="cs-CZ" w:bidi="ar-SA"/>
              </w:rPr>
              <w:t>8</w:t>
            </w:r>
            <w:r>
              <w:rPr>
                <w:b/>
                <w:sz w:val="20"/>
                <w:szCs w:val="20"/>
              </w:rPr>
              <w:t> </w:t>
            </w:r>
            <w:r>
              <w:rPr>
                <w:b/>
                <w:sz w:val="20"/>
                <w:szCs w:val="20"/>
              </w:rPr>
              <w:t>739</w:t>
            </w:r>
            <w:r>
              <w:rPr>
                <w:rFonts w:eastAsia="Times New Roman" w:cs="Times New Roman"/>
                <w:b/>
                <w:color w:val="auto"/>
                <w:kern w:val="0"/>
                <w:sz w:val="20"/>
                <w:szCs w:val="20"/>
                <w:lang w:val="sk-SK" w:eastAsia="cs-CZ" w:bidi="ar-SA"/>
              </w:rPr>
              <w:t>,00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>
                <w:rFonts w:ascii="Times New Roman" w:hAnsi="Times New Roman" w:eastAsia="Times New Roman" w:cs="Times New Roman"/>
                <w:b/>
                <w:b/>
                <w:color w:val="auto"/>
                <w:kern w:val="0"/>
                <w:sz w:val="20"/>
                <w:szCs w:val="20"/>
                <w:lang w:val="sk-SK" w:eastAsia="cs-CZ" w:bidi="ar-SA"/>
              </w:rPr>
            </w:pPr>
            <w:r>
              <w:rPr>
                <w:rFonts w:eastAsia="Times New Roman" w:cs="Times New Roman"/>
                <w:b/>
                <w:color w:val="auto"/>
                <w:kern w:val="0"/>
                <w:sz w:val="20"/>
                <w:szCs w:val="20"/>
                <w:lang w:val="sk-SK" w:eastAsia="cs-CZ" w:bidi="ar-SA"/>
              </w:rPr>
              <w:t>6</w:t>
            </w:r>
            <w:r>
              <w:rPr>
                <w:rFonts w:eastAsia="Times New Roman" w:cs="Times New Roman"/>
                <w:b/>
                <w:color w:val="auto"/>
                <w:kern w:val="0"/>
                <w:sz w:val="20"/>
                <w:szCs w:val="20"/>
                <w:lang w:val="sk-SK" w:eastAsia="cs-CZ" w:bidi="ar-SA"/>
              </w:rPr>
              <w:t>4</w:t>
            </w:r>
            <w:r>
              <w:rPr>
                <w:rFonts w:eastAsia="Times New Roman" w:cs="Times New Roman"/>
                <w:b/>
                <w:color w:val="auto"/>
                <w:kern w:val="0"/>
                <w:sz w:val="20"/>
                <w:szCs w:val="20"/>
                <w:lang w:val="sk-SK" w:eastAsia="cs-CZ" w:bidi="ar-SA"/>
              </w:rPr>
              <w:t xml:space="preserve"> </w:t>
            </w:r>
            <w:r>
              <w:rPr>
                <w:rFonts w:eastAsia="Times New Roman" w:cs="Times New Roman"/>
                <w:b/>
                <w:color w:val="auto"/>
                <w:kern w:val="0"/>
                <w:sz w:val="20"/>
                <w:szCs w:val="20"/>
                <w:lang w:val="sk-SK" w:eastAsia="cs-CZ" w:bidi="ar-SA"/>
              </w:rPr>
              <w:t>56</w:t>
            </w:r>
            <w:r>
              <w:rPr>
                <w:rFonts w:eastAsia="Times New Roman" w:cs="Times New Roman"/>
                <w:b/>
                <w:color w:val="auto"/>
                <w:kern w:val="0"/>
                <w:sz w:val="20"/>
                <w:szCs w:val="20"/>
                <w:lang w:val="sk-SK" w:eastAsia="cs-CZ" w:bidi="ar-SA"/>
              </w:rPr>
              <w:t>6,11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right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34 </w:t>
            </w:r>
            <w:r>
              <w:rPr>
                <w:rFonts w:eastAsia="Times New Roman" w:cs="Times New Roman"/>
                <w:b/>
                <w:color w:val="auto"/>
                <w:kern w:val="0"/>
                <w:sz w:val="20"/>
                <w:szCs w:val="20"/>
                <w:lang w:val="sk-SK" w:eastAsia="cs-CZ" w:bidi="ar-SA"/>
              </w:rPr>
              <w:t>172,89</w:t>
            </w:r>
          </w:p>
        </w:tc>
      </w:tr>
    </w:tbl>
    <w:p>
      <w:pPr>
        <w:pStyle w:val="Normal"/>
        <w:jc w:val="both"/>
        <w:rPr>
          <w:color w:val="0000FF"/>
          <w:u w:val="single"/>
        </w:rPr>
      </w:pPr>
      <w:r>
        <w:rPr>
          <w:color w:val="0000FF"/>
          <w:u w:val="single"/>
        </w:rPr>
      </w:r>
    </w:p>
    <w:p>
      <w:pPr>
        <w:pStyle w:val="Normal"/>
        <w:spacing w:lineRule="auto" w:line="360"/>
        <w:ind w:firstLine="708"/>
        <w:jc w:val="both"/>
        <w:rPr/>
      </w:pPr>
      <w:r>
        <w:rPr/>
        <w:t xml:space="preserve">Všetky účelovo určené poskytnuté dotácie boli zo strany obce použité na stanovený účel a v stanovenom termíne. Zo strany obce boli jednotlivé vyúčtovania použitia dotácií zaslané poskytovateľovi.  </w:t>
      </w:r>
    </w:p>
    <w:p>
      <w:pPr>
        <w:pStyle w:val="Normal"/>
        <w:spacing w:lineRule="auto" w:line="360"/>
        <w:ind w:firstLine="708"/>
        <w:jc w:val="both"/>
        <w:rPr/>
      </w:pPr>
      <w:r>
        <w:rPr/>
        <w:t xml:space="preserve">Prostriedky na činnosť stavebného úradu a na cestnú dopravu boli zaslané na spoločný stavebný úrad OcÚ Štítnik, prostriedky na životné prostredie  boli zaslané na Mestský úrad Rožňava. </w:t>
      </w:r>
    </w:p>
    <w:p>
      <w:pPr>
        <w:pStyle w:val="Normal"/>
        <w:numPr>
          <w:ilvl w:val="0"/>
          <w:numId w:val="4"/>
        </w:numPr>
        <w:tabs>
          <w:tab w:val="clear" w:pos="720"/>
          <w:tab w:val="left" w:pos="284" w:leader="none"/>
        </w:tabs>
        <w:spacing w:lineRule="auto" w:line="360"/>
        <w:ind w:left="426" w:hanging="426"/>
        <w:jc w:val="both"/>
        <w:rPr>
          <w:color w:val="0000FF"/>
          <w:u w:val="single"/>
        </w:rPr>
      </w:pPr>
      <w:r>
        <w:rPr>
          <w:color w:val="0000FF"/>
          <w:u w:val="single"/>
        </w:rPr>
        <w:t>Finančné usporiadanie voči štátnym fondom</w:t>
      </w:r>
    </w:p>
    <w:p>
      <w:pPr>
        <w:pStyle w:val="Normal"/>
        <w:spacing w:lineRule="auto" w:line="360"/>
        <w:jc w:val="both"/>
        <w:rPr/>
      </w:pPr>
      <w:r>
        <w:rPr/>
        <w:t>Obec neuzatvorila v roku 2025 žiadnu zmluvu so štátnymi fondmi.</w:t>
      </w:r>
    </w:p>
    <w:p>
      <w:pPr>
        <w:pStyle w:val="Normal"/>
        <w:spacing w:lineRule="auto" w:line="360"/>
        <w:jc w:val="both"/>
        <w:rPr/>
      </w:pPr>
      <w:r>
        <w:rPr/>
      </w:r>
    </w:p>
    <w:p>
      <w:pPr>
        <w:pStyle w:val="Normal"/>
        <w:spacing w:lineRule="auto" w:line="360"/>
        <w:jc w:val="both"/>
        <w:rPr/>
      </w:pPr>
      <w:r>
        <w:rPr>
          <w:color w:val="0000FF"/>
        </w:rPr>
        <w:t xml:space="preserve">c) </w:t>
      </w:r>
      <w:r>
        <w:rPr>
          <w:color w:val="0000FF"/>
          <w:u w:val="single"/>
        </w:rPr>
        <w:t>Finančné usporiadanie voči VUC</w:t>
      </w:r>
    </w:p>
    <w:p>
      <w:pPr>
        <w:pStyle w:val="Normal"/>
        <w:spacing w:lineRule="auto" w:line="360"/>
        <w:jc w:val="both"/>
        <w:rPr/>
      </w:pPr>
      <w:r>
        <w:rPr/>
        <w:t>Obec sa finančne vysporiadala voči VUC.</w:t>
      </w:r>
      <w:bookmarkStart w:id="0" w:name="_GoBack"/>
      <w:bookmarkEnd w:id="0"/>
    </w:p>
    <w:p>
      <w:pPr>
        <w:pStyle w:val="Normal"/>
        <w:spacing w:lineRule="auto" w:line="360"/>
        <w:jc w:val="both"/>
        <w:rPr/>
      </w:pPr>
      <w:r>
        <w:rPr/>
      </w:r>
    </w:p>
    <w:p>
      <w:pPr>
        <w:pStyle w:val="Normal"/>
        <w:numPr>
          <w:ilvl w:val="0"/>
          <w:numId w:val="0"/>
        </w:numPr>
        <w:spacing w:lineRule="auto" w:line="360"/>
        <w:ind w:left="0" w:hanging="0"/>
        <w:jc w:val="both"/>
        <w:outlineLvl w:val="0"/>
        <w:rPr>
          <w:color w:val="FF0000"/>
          <w:u w:val="single"/>
        </w:rPr>
      </w:pPr>
      <w:r>
        <w:rPr>
          <w:color w:val="FF0000"/>
          <w:u w:val="single"/>
        </w:rPr>
      </w:r>
    </w:p>
    <w:p>
      <w:pPr>
        <w:pStyle w:val="Normal"/>
        <w:numPr>
          <w:ilvl w:val="0"/>
          <w:numId w:val="0"/>
        </w:numPr>
        <w:ind w:left="0" w:hanging="0"/>
        <w:jc w:val="both"/>
        <w:outlineLvl w:val="0"/>
        <w:rPr>
          <w:color w:val="FF0000"/>
          <w:highlight w:val="yellow"/>
          <w:u w:val="single"/>
        </w:rPr>
      </w:pPr>
      <w:r>
        <w:rPr>
          <w:color w:val="FF0000"/>
          <w:highlight w:val="yellow"/>
          <w:u w:val="single"/>
        </w:rPr>
      </w:r>
    </w:p>
    <w:p>
      <w:pPr>
        <w:pStyle w:val="Normal"/>
        <w:numPr>
          <w:ilvl w:val="0"/>
          <w:numId w:val="0"/>
        </w:numPr>
        <w:ind w:left="0" w:hanging="0"/>
        <w:jc w:val="both"/>
        <w:outlineLvl w:val="0"/>
        <w:rPr>
          <w:color w:val="FF0000"/>
          <w:highlight w:val="yellow"/>
          <w:u w:val="single"/>
        </w:rPr>
      </w:pPr>
      <w:r>
        <w:rPr>
          <w:color w:val="FF0000"/>
          <w:highlight w:val="yellow"/>
          <w:u w:val="single"/>
        </w:rPr>
      </w:r>
    </w:p>
    <w:p>
      <w:pPr>
        <w:pStyle w:val="Normal"/>
        <w:numPr>
          <w:ilvl w:val="0"/>
          <w:numId w:val="0"/>
        </w:numPr>
        <w:ind w:left="0" w:hanging="0"/>
        <w:jc w:val="both"/>
        <w:outlineLvl w:val="0"/>
        <w:rPr>
          <w:color w:val="FF0000"/>
          <w:highlight w:val="yellow"/>
          <w:u w:val="single"/>
        </w:rPr>
      </w:pPr>
      <w:r>
        <w:rPr>
          <w:color w:val="FF0000"/>
          <w:highlight w:val="yellow"/>
          <w:u w:val="single"/>
        </w:rPr>
      </w:r>
    </w:p>
    <w:p>
      <w:pPr>
        <w:pStyle w:val="Normal"/>
        <w:numPr>
          <w:ilvl w:val="0"/>
          <w:numId w:val="0"/>
        </w:numPr>
        <w:ind w:left="0" w:hanging="0"/>
        <w:jc w:val="both"/>
        <w:outlineLvl w:val="0"/>
        <w:rPr>
          <w:b/>
          <w:b/>
        </w:rPr>
      </w:pPr>
      <w:r>
        <w:rPr>
          <w:b/>
        </w:rPr>
        <w:t>Návrh uznesenia:</w:t>
      </w:r>
    </w:p>
    <w:p>
      <w:pPr>
        <w:pStyle w:val="Normal"/>
        <w:jc w:val="both"/>
        <w:rPr/>
      </w:pPr>
      <w:r>
        <w:rPr/>
      </w:r>
    </w:p>
    <w:p>
      <w:pPr>
        <w:pStyle w:val="Normal"/>
        <w:numPr>
          <w:ilvl w:val="0"/>
          <w:numId w:val="0"/>
        </w:numPr>
        <w:spacing w:lineRule="auto" w:line="360"/>
        <w:ind w:left="0" w:hanging="0"/>
        <w:jc w:val="both"/>
        <w:outlineLvl w:val="0"/>
        <w:rPr/>
      </w:pPr>
      <w:r>
        <w:rPr/>
        <w:t>Obecné zastupiteľstvo berie na vedomie stanovisko hlavného kontrolóra k Záverečnému účtu za rok 202</w:t>
      </w:r>
      <w:r>
        <w:rPr/>
        <w:t>5</w:t>
      </w:r>
    </w:p>
    <w:p>
      <w:pPr>
        <w:pStyle w:val="Normal"/>
        <w:numPr>
          <w:ilvl w:val="0"/>
          <w:numId w:val="0"/>
        </w:numPr>
        <w:spacing w:lineRule="auto" w:line="360"/>
        <w:ind w:left="0" w:hanging="0"/>
        <w:jc w:val="both"/>
        <w:outlineLvl w:val="0"/>
        <w:rPr/>
      </w:pPr>
      <w:r>
        <w:rPr/>
        <w:t>Obecné zastupiteľstvo berie na vedomie správu audítora za rok 202</w:t>
      </w:r>
      <w:r>
        <w:rPr/>
        <w:t>5</w:t>
      </w:r>
    </w:p>
    <w:p>
      <w:pPr>
        <w:pStyle w:val="Normal"/>
        <w:spacing w:lineRule="auto" w:line="360"/>
        <w:jc w:val="both"/>
        <w:rPr>
          <w:b/>
          <w:b/>
        </w:rPr>
      </w:pPr>
      <w:r>
        <w:rPr/>
        <w:t>Obecné zastupiteľstvo schvaľuje Záverečný účet obce a celoročné hospodárenie za rok 202</w:t>
      </w:r>
      <w:r>
        <w:rPr/>
        <w:t>5</w:t>
      </w:r>
      <w:r>
        <w:rPr/>
        <w:t xml:space="preserve"> </w:t>
      </w:r>
      <w:r>
        <w:rPr>
          <w:b/>
        </w:rPr>
        <w:t>bez výhrad/ s výhradami.</w:t>
      </w:r>
    </w:p>
    <w:p>
      <w:pPr>
        <w:pStyle w:val="Normal"/>
        <w:spacing w:lineRule="auto" w:line="360"/>
        <w:jc w:val="both"/>
        <w:rPr/>
      </w:pPr>
      <w:r>
        <w:rPr/>
      </w:r>
    </w:p>
    <w:p>
      <w:pPr>
        <w:pStyle w:val="Normal"/>
        <w:spacing w:lineRule="auto" w:line="360"/>
        <w:jc w:val="both"/>
        <w:rPr>
          <w:b/>
          <w:b/>
        </w:rPr>
      </w:pPr>
      <w:r>
        <w:rPr>
          <w:b/>
        </w:rPr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417" w:right="1417" w:header="708" w:top="1417" w:footer="708" w:bottom="1417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Arial">
    <w:charset w:val="ee"/>
    <w:family w:val="roman"/>
    <w:pitch w:val="variable"/>
  </w:font>
  <w:font w:name="Cambria">
    <w:charset w:val="ee"/>
    <w:family w:val="roman"/>
    <w:pitch w:val="variable"/>
  </w:font>
  <w:font w:name="Tahoma">
    <w:charset w:val="ee"/>
    <w:family w:val="roman"/>
    <w:pitch w:val="variable"/>
  </w:font>
  <w:font w:name="OpenSymbol">
    <w:altName w:val="Arial Unicode MS"/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Wingdings">
    <w:charset w:val="ee"/>
    <w:family w:val="roman"/>
    <w:pitch w:val="variable"/>
  </w:font>
  <w:font w:name="Wingdings 2">
    <w:charset w:val="ee"/>
    <w:family w:val="roman"/>
    <w:pitch w:val="variable"/>
  </w:font>
  <w:font w:name="Times New Roman">
    <w:charset w:val="01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tbl>
    <w:tblPr>
      <w:tblW w:w="9072" w:type="dxa"/>
      <w:jc w:val="left"/>
      <w:tblInd w:w="217" w:type="dxa"/>
      <w:tblLayout w:type="fixed"/>
      <w:tblCellMar>
        <w:top w:w="0" w:type="dxa"/>
        <w:left w:w="108" w:type="dxa"/>
        <w:bottom w:w="0" w:type="dxa"/>
        <w:right w:w="108" w:type="dxa"/>
      </w:tblCellMar>
      <w:tblLook w:firstRow="1" w:noVBand="1" w:lastRow="0" w:firstColumn="1" w:lastColumn="0" w:noHBand="0" w:val="04a0"/>
    </w:tblPr>
    <w:tblGrid>
      <w:gridCol w:w="2394"/>
      <w:gridCol w:w="2327"/>
      <w:gridCol w:w="2503"/>
      <w:gridCol w:w="1847"/>
    </w:tblGrid>
    <w:tr>
      <w:trPr/>
      <w:tc>
        <w:tcPr>
          <w:tcW w:w="2394" w:type="dxa"/>
          <w:tcBorders>
            <w:top w:val="single" w:sz="4" w:space="0" w:color="000000"/>
          </w:tcBorders>
        </w:tcPr>
        <w:p>
          <w:pPr>
            <w:pStyle w:val="Normal"/>
            <w:widowControl w:val="false"/>
            <w:rPr>
              <w:rFonts w:ascii="Calibri" w:hAnsi="Calibri" w:asciiTheme="minorHAnsi" w:hAnsiTheme="minorHAnsi"/>
              <w:sz w:val="18"/>
              <w:szCs w:val="18"/>
            </w:rPr>
          </w:pPr>
          <w:r>
            <w:rPr>
              <w:rFonts w:asciiTheme="minorHAnsi" w:hAnsiTheme="minorHAnsi" w:ascii="Calibri" w:hAnsi="Calibri"/>
              <w:sz w:val="18"/>
              <w:szCs w:val="18"/>
            </w:rPr>
          </w:r>
        </w:p>
      </w:tc>
      <w:tc>
        <w:tcPr>
          <w:tcW w:w="2327" w:type="dxa"/>
          <w:tcBorders>
            <w:top w:val="single" w:sz="4" w:space="0" w:color="000000"/>
          </w:tcBorders>
        </w:tcPr>
        <w:p>
          <w:pPr>
            <w:pStyle w:val="Normal"/>
            <w:widowControl w:val="false"/>
            <w:rPr>
              <w:rFonts w:ascii="Calibri" w:hAnsi="Calibri" w:asciiTheme="minorHAnsi" w:hAnsiTheme="minorHAnsi"/>
              <w:sz w:val="18"/>
              <w:szCs w:val="18"/>
            </w:rPr>
          </w:pPr>
          <w:r>
            <w:rPr>
              <w:rFonts w:asciiTheme="minorHAnsi" w:hAnsiTheme="minorHAnsi" w:ascii="Calibri" w:hAnsi="Calibri"/>
              <w:sz w:val="18"/>
              <w:szCs w:val="18"/>
            </w:rPr>
          </w:r>
        </w:p>
      </w:tc>
      <w:tc>
        <w:tcPr>
          <w:tcW w:w="2503" w:type="dxa"/>
          <w:tcBorders>
            <w:top w:val="single" w:sz="4" w:space="0" w:color="000000"/>
          </w:tcBorders>
        </w:tcPr>
        <w:p>
          <w:pPr>
            <w:pStyle w:val="Pta"/>
            <w:widowControl w:val="false"/>
            <w:rPr>
              <w:sz w:val="18"/>
              <w:szCs w:val="18"/>
            </w:rPr>
          </w:pPr>
          <w:r>
            <w:rPr>
              <w:sz w:val="18"/>
              <w:szCs w:val="18"/>
            </w:rPr>
          </w:r>
        </w:p>
      </w:tc>
      <w:tc>
        <w:tcPr>
          <w:tcW w:w="1847" w:type="dxa"/>
          <w:tcBorders>
            <w:top w:val="single" w:sz="4" w:space="0" w:color="000000"/>
          </w:tcBorders>
        </w:tcPr>
        <w:p>
          <w:pPr>
            <w:pStyle w:val="Pta"/>
            <w:widowControl w:val="false"/>
            <w:rPr>
              <w:sz w:val="18"/>
              <w:szCs w:val="18"/>
            </w:rPr>
          </w:pPr>
          <w:r>
            <w:rPr>
              <w:sz w:val="18"/>
              <w:szCs w:val="18"/>
            </w:rPr>
          </w:r>
        </w:p>
      </w:tc>
    </w:tr>
    <w:tr>
      <w:trPr/>
      <w:tc>
        <w:tcPr>
          <w:tcW w:w="2394" w:type="dxa"/>
          <w:tcBorders/>
        </w:tcPr>
        <w:p>
          <w:pPr>
            <w:pStyle w:val="Nadpis1"/>
            <w:widowControl w:val="false"/>
            <w:rPr>
              <w:rFonts w:ascii="Times New Roman" w:hAnsi="Times New Roman"/>
              <w:b w:val="false"/>
              <w:b w:val="false"/>
              <w:sz w:val="18"/>
              <w:szCs w:val="18"/>
            </w:rPr>
          </w:pPr>
          <w:r>
            <w:rPr>
              <w:rFonts w:eastAsia="Wingdings" w:cs="Wingdings" w:ascii="Wingdings" w:hAnsi="Wingdings"/>
              <w:sz w:val="18"/>
              <w:szCs w:val="18"/>
              <w:lang w:val="sk-SK"/>
            </w:rPr>
            <w:t></w:t>
          </w:r>
          <w:r>
            <w:rPr>
              <w:rFonts w:ascii="Times New Roman" w:hAnsi="Times New Roman"/>
              <w:sz w:val="18"/>
              <w:szCs w:val="18"/>
              <w:lang w:val="sk-SK"/>
            </w:rPr>
            <w:t xml:space="preserve">   </w:t>
          </w:r>
          <w:r>
            <w:rPr>
              <w:rFonts w:ascii="Times New Roman" w:hAnsi="Times New Roman"/>
              <w:b w:val="false"/>
              <w:sz w:val="18"/>
              <w:szCs w:val="18"/>
            </w:rPr>
            <w:t>Obec Rakovnica č.150</w:t>
          </w:r>
        </w:p>
        <w:p>
          <w:pPr>
            <w:pStyle w:val="Normal"/>
            <w:widowControl w:val="false"/>
            <w:rPr>
              <w:sz w:val="18"/>
              <w:szCs w:val="18"/>
            </w:rPr>
          </w:pPr>
          <w:r>
            <w:rPr>
              <w:sz w:val="18"/>
              <w:szCs w:val="18"/>
            </w:rPr>
            <w:t xml:space="preserve">        </w:t>
          </w:r>
          <w:r>
            <w:rPr>
              <w:sz w:val="18"/>
              <w:szCs w:val="18"/>
            </w:rPr>
            <w:t>049 31 Rakovnica</w:t>
          </w:r>
        </w:p>
      </w:tc>
      <w:tc>
        <w:tcPr>
          <w:tcW w:w="2327" w:type="dxa"/>
          <w:tcBorders/>
        </w:tcPr>
        <w:p>
          <w:pPr>
            <w:pStyle w:val="Normal"/>
            <w:widowControl w:val="false"/>
            <w:rPr>
              <w:sz w:val="18"/>
              <w:szCs w:val="18"/>
            </w:rPr>
          </w:pPr>
          <w:r>
            <w:rPr>
              <w:rFonts w:eastAsia="Wingdings 2" w:cs="Wingdings 2" w:ascii="Wingdings 2" w:hAnsi="Wingdings 2"/>
              <w:b/>
              <w:sz w:val="18"/>
              <w:szCs w:val="18"/>
            </w:rPr>
            <w:t></w:t>
          </w:r>
          <w:r>
            <w:rPr>
              <w:sz w:val="18"/>
              <w:szCs w:val="18"/>
            </w:rPr>
            <w:t xml:space="preserve">    </w:t>
          </w:r>
          <w:r>
            <w:rPr>
              <w:sz w:val="18"/>
              <w:szCs w:val="18"/>
            </w:rPr>
            <w:t>058/788 35 00</w:t>
          </w:r>
        </w:p>
        <w:p>
          <w:pPr>
            <w:pStyle w:val="Normal"/>
            <w:widowControl w:val="false"/>
            <w:rPr>
              <w:sz w:val="18"/>
              <w:szCs w:val="18"/>
            </w:rPr>
          </w:pPr>
          <w:r>
            <w:rPr>
              <w:b/>
              <w:sz w:val="18"/>
              <w:szCs w:val="18"/>
            </w:rPr>
            <w:t xml:space="preserve">@   </w:t>
          </w:r>
          <w:hyperlink r:id="rId1">
            <w:r>
              <w:rPr>
                <w:rStyle w:val="Internetovodkaz"/>
                <w:sz w:val="18"/>
                <w:szCs w:val="18"/>
              </w:rPr>
              <w:t>obec@rakovnica.sk</w:t>
            </w:r>
          </w:hyperlink>
        </w:p>
        <w:p>
          <w:pPr>
            <w:pStyle w:val="Normal"/>
            <w:widowControl w:val="false"/>
            <w:rPr>
              <w:sz w:val="18"/>
              <w:szCs w:val="18"/>
            </w:rPr>
          </w:pPr>
          <w:r>
            <w:rPr>
              <w:sz w:val="18"/>
              <w:szCs w:val="18"/>
            </w:rPr>
            <w:t xml:space="preserve">     </w:t>
          </w:r>
          <w:hyperlink r:id="rId2">
            <w:r>
              <w:rPr>
                <w:rStyle w:val="Internetovodkaz"/>
                <w:sz w:val="18"/>
                <w:szCs w:val="18"/>
              </w:rPr>
              <w:t>starosta@rakovnica.sk</w:t>
            </w:r>
          </w:hyperlink>
        </w:p>
      </w:tc>
      <w:tc>
        <w:tcPr>
          <w:tcW w:w="2503" w:type="dxa"/>
          <w:tcBorders/>
        </w:tcPr>
        <w:p>
          <w:pPr>
            <w:pStyle w:val="Pta"/>
            <w:widowControl w:val="false"/>
            <w:rPr>
              <w:sz w:val="18"/>
              <w:szCs w:val="18"/>
            </w:rPr>
          </w:pPr>
          <w:r>
            <w:rPr>
              <w:rFonts w:eastAsia="Wingdings" w:cs="Wingdings" w:ascii="Wingdings" w:hAnsi="Wingdings"/>
              <w:sz w:val="18"/>
              <w:szCs w:val="18"/>
            </w:rPr>
            <w:t></w:t>
          </w:r>
          <w:r>
            <w:rPr>
              <w:sz w:val="18"/>
              <w:szCs w:val="18"/>
            </w:rPr>
            <w:t xml:space="preserve"> </w:t>
          </w:r>
          <w:r>
            <w:rPr>
              <w:sz w:val="18"/>
              <w:szCs w:val="18"/>
            </w:rPr>
            <w:t>www.rakovnica.sk</w:t>
          </w:r>
        </w:p>
      </w:tc>
      <w:tc>
        <w:tcPr>
          <w:tcW w:w="1847" w:type="dxa"/>
          <w:tcBorders/>
        </w:tcPr>
        <w:p>
          <w:pPr>
            <w:pStyle w:val="Pta"/>
            <w:widowControl w:val="false"/>
            <w:rPr>
              <w:sz w:val="18"/>
              <w:szCs w:val="18"/>
            </w:rPr>
          </w:pPr>
          <w:r>
            <w:rPr>
              <w:b/>
              <w:sz w:val="18"/>
              <w:szCs w:val="18"/>
            </w:rPr>
            <w:t>IČO:</w:t>
          </w:r>
          <w:r>
            <w:rPr>
              <w:sz w:val="18"/>
              <w:szCs w:val="18"/>
            </w:rPr>
            <w:t xml:space="preserve"> 00328677</w:t>
          </w:r>
        </w:p>
        <w:p>
          <w:pPr>
            <w:pStyle w:val="Pta"/>
            <w:widowControl w:val="false"/>
            <w:rPr>
              <w:sz w:val="18"/>
              <w:szCs w:val="18"/>
            </w:rPr>
          </w:pPr>
          <w:r>
            <w:rPr>
              <w:b/>
              <w:sz w:val="18"/>
              <w:szCs w:val="18"/>
            </w:rPr>
            <w:t>DIČ:</w:t>
          </w:r>
          <w:r>
            <w:rPr>
              <w:sz w:val="18"/>
              <w:szCs w:val="18"/>
            </w:rPr>
            <w:t xml:space="preserve"> 2020937061</w:t>
          </w:r>
        </w:p>
      </w:tc>
    </w:tr>
  </w:tbl>
  <w:p>
    <w:pPr>
      <w:pStyle w:val="Pta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16</w:t>
    </w:r>
    <w:r>
      <w:rPr/>
      <w:fldChar w:fldCharType="end"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Zhlavie"/>
      <w:jc w:val="center"/>
      <w:rPr>
        <w:rFonts w:ascii="Times New Roman" w:hAnsi="Times New Roman" w:cs="Times New Roman"/>
        <w:b/>
        <w:b/>
        <w:sz w:val="40"/>
        <w:szCs w:val="40"/>
      </w:rPr>
    </w:pPr>
    <w:r>
      <w:drawing>
        <wp:anchor behindDoc="1" distT="0" distB="0" distL="114300" distR="114300" simplePos="0" locked="0" layoutInCell="0" allowOverlap="1" relativeHeight="27">
          <wp:simplePos x="0" y="0"/>
          <wp:positionH relativeFrom="column">
            <wp:posOffset>-11430</wp:posOffset>
          </wp:positionH>
          <wp:positionV relativeFrom="paragraph">
            <wp:posOffset>-247650</wp:posOffset>
          </wp:positionV>
          <wp:extent cx="681355" cy="802005"/>
          <wp:effectExtent l="0" t="0" r="0" b="0"/>
          <wp:wrapSquare wrapText="bothSides"/>
          <wp:docPr id="1" name="Obrázok 4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ázok 4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81355" cy="8020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cs="Times New Roman" w:ascii="Times New Roman" w:hAnsi="Times New Roman"/>
        <w:b/>
        <w:sz w:val="40"/>
        <w:szCs w:val="40"/>
      </w:rPr>
      <w:t>O</w:t>
    </w:r>
    <w:r>
      <w:rPr>
        <w:rFonts w:cs="Times New Roman" w:ascii="Times New Roman" w:hAnsi="Times New Roman"/>
        <w:b/>
        <w:sz w:val="40"/>
        <w:szCs w:val="40"/>
      </w:rPr>
      <w:t>BEC RAKOVNICA</w:t>
    </w:r>
  </w:p>
  <w:p>
    <w:pPr>
      <w:pStyle w:val="Zhlavie"/>
      <w:pBdr>
        <w:bottom w:val="single" w:sz="6" w:space="1" w:color="000000"/>
      </w:pBdr>
      <w:jc w:val="center"/>
      <w:rPr>
        <w:rFonts w:ascii="Times New Roman" w:hAnsi="Times New Roman" w:cs="Times New Roman"/>
        <w:b/>
        <w:b/>
        <w:sz w:val="32"/>
        <w:szCs w:val="32"/>
      </w:rPr>
    </w:pPr>
    <w:r>
      <w:rPr>
        <w:rFonts w:cs="Times New Roman" w:ascii="Times New Roman" w:hAnsi="Times New Roman"/>
        <w:b/>
        <w:sz w:val="32"/>
        <w:szCs w:val="32"/>
      </w:rPr>
      <w:t>Rakovnica 150,  049 31  Rožňavské Bystré</w:t>
    </w:r>
  </w:p>
  <w:p>
    <w:pPr>
      <w:pStyle w:val="Zhlavie"/>
      <w:pBdr>
        <w:bottom w:val="single" w:sz="6" w:space="1" w:color="000000"/>
      </w:pBdr>
      <w:jc w:val="center"/>
      <w:rPr>
        <w:rFonts w:ascii="Times New Roman" w:hAnsi="Times New Roman" w:cs="Times New Roman"/>
        <w:b/>
        <w:b/>
        <w:sz w:val="32"/>
        <w:szCs w:val="32"/>
      </w:rPr>
    </w:pPr>
    <w:r>
      <w:rPr>
        <w:rFonts w:cs="Times New Roman" w:ascii="Times New Roman" w:hAnsi="Times New Roman"/>
        <w:b/>
        <w:sz w:val="32"/>
        <w:szCs w:val="32"/>
      </w:rPr>
    </w:r>
  </w:p>
  <w:p>
    <w:pPr>
      <w:pStyle w:val="Zhlavie"/>
      <w:rPr>
        <w:rFonts w:ascii="Times New Roman" w:hAnsi="Times New Roman" w:eastAsia="Times New Roman" w:cs="Times New Roman"/>
        <w:sz w:val="24"/>
        <w:szCs w:val="24"/>
        <w:u w:val="single"/>
        <w:lang w:eastAsia="cs-CZ"/>
      </w:rPr>
    </w:pPr>
    <w:r>
      <w:rPr>
        <w:rFonts w:eastAsia="Times New Roman" w:cs="Times New Roman" w:ascii="Times New Roman" w:hAnsi="Times New Roman"/>
        <w:sz w:val="24"/>
        <w:szCs w:val="24"/>
        <w:u w:val="single"/>
        <w:lang w:eastAsia="cs-CZ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lvl w:ilvl="0">
      <w:start w:val="2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)"/>
      <w:lvlJc w:val="left"/>
      <w:pPr>
        <w:tabs>
          <w:tab w:val="num" w:pos="1620"/>
        </w:tabs>
        <w:ind w:left="1620" w:hanging="360"/>
      </w:pPr>
      <w:rPr>
        <w:rFonts w:ascii="Times New Roman" w:hAnsi="Times New Roman" w:eastAsia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4">
    <w:lvl w:ilvl="0">
      <w:start w:val="1"/>
      <w:numFmt w:val="lowerLetter"/>
      <w:lvlText w:val="%1)"/>
      <w:lvlJc w:val="left"/>
      <w:pPr>
        <w:tabs>
          <w:tab w:val="num" w:pos="1620"/>
        </w:tabs>
        <w:ind w:left="1620" w:hanging="360"/>
      </w:pPr>
      <w:rPr>
        <w:rFonts w:ascii="Times New Roman" w:hAnsi="Times New Roman" w:eastAsia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5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">
    <w:lvl w:ilvl="0">
      <w:start w:val="1"/>
      <w:numFmt w:val="lowerLetter"/>
      <w:lvlText w:val="%1)"/>
      <w:lvlJc w:val="left"/>
      <w:pPr>
        <w:tabs>
          <w:tab w:val="num" w:pos="0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36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</w:lvl>
  </w:abstractNum>
  <w:abstractNum w:abstractNumId="7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8">
    <w:lvl w:ilvl="0"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9"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0"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1">
    <w:lvl w:ilvl="0">
      <w:start w:val="1"/>
      <w:numFmt w:val="lowerLetter"/>
      <w:lvlText w:val="%1)"/>
      <w:lvlJc w:val="left"/>
      <w:pPr>
        <w:tabs>
          <w:tab w:val="num" w:pos="502"/>
        </w:tabs>
        <w:ind w:left="502" w:hanging="360"/>
      </w:pPr>
    </w:lvl>
    <w:lvl w:ilvl="1">
      <w:start w:val="1"/>
      <w:numFmt w:val="lowerLetter"/>
      <w:lvlText w:val="%2)"/>
      <w:lvlJc w:val="left"/>
      <w:pPr>
        <w:tabs>
          <w:tab w:val="num" w:pos="862"/>
        </w:tabs>
        <w:ind w:left="862" w:hanging="360"/>
      </w:pPr>
    </w:lvl>
    <w:lvl w:ilvl="2">
      <w:start w:val="1"/>
      <w:numFmt w:val="lowerLetter"/>
      <w:lvlText w:val="%3)"/>
      <w:lvlJc w:val="left"/>
      <w:pPr>
        <w:tabs>
          <w:tab w:val="num" w:pos="1222"/>
        </w:tabs>
        <w:ind w:left="1222" w:hanging="360"/>
      </w:pPr>
    </w:lvl>
    <w:lvl w:ilvl="3">
      <w:start w:val="1"/>
      <w:numFmt w:val="lowerLetter"/>
      <w:lvlText w:val="%4)"/>
      <w:lvlJc w:val="left"/>
      <w:pPr>
        <w:tabs>
          <w:tab w:val="num" w:pos="1582"/>
        </w:tabs>
        <w:ind w:left="1582" w:hanging="360"/>
      </w:pPr>
    </w:lvl>
    <w:lvl w:ilvl="4">
      <w:start w:val="1"/>
      <w:numFmt w:val="lowerLetter"/>
      <w:lvlText w:val="%5)"/>
      <w:lvlJc w:val="left"/>
      <w:pPr>
        <w:tabs>
          <w:tab w:val="num" w:pos="1942"/>
        </w:tabs>
        <w:ind w:left="1942" w:hanging="360"/>
      </w:pPr>
    </w:lvl>
    <w:lvl w:ilvl="5">
      <w:start w:val="1"/>
      <w:numFmt w:val="lowerLetter"/>
      <w:lvlText w:val="%6)"/>
      <w:lvlJc w:val="left"/>
      <w:pPr>
        <w:tabs>
          <w:tab w:val="num" w:pos="2302"/>
        </w:tabs>
        <w:ind w:left="2302" w:hanging="360"/>
      </w:pPr>
    </w:lvl>
    <w:lvl w:ilvl="6">
      <w:start w:val="1"/>
      <w:numFmt w:val="lowerLetter"/>
      <w:lvlText w:val="%7)"/>
      <w:lvlJc w:val="left"/>
      <w:pPr>
        <w:tabs>
          <w:tab w:val="num" w:pos="2662"/>
        </w:tabs>
        <w:ind w:left="2662" w:hanging="360"/>
      </w:pPr>
    </w:lvl>
    <w:lvl w:ilvl="7">
      <w:start w:val="1"/>
      <w:numFmt w:val="lowerLetter"/>
      <w:lvlText w:val="%8)"/>
      <w:lvlJc w:val="left"/>
      <w:pPr>
        <w:tabs>
          <w:tab w:val="num" w:pos="3022"/>
        </w:tabs>
        <w:ind w:left="3022" w:hanging="360"/>
      </w:pPr>
    </w:lvl>
    <w:lvl w:ilvl="8">
      <w:start w:val="1"/>
      <w:numFmt w:val="lowerLetter"/>
      <w:lvlText w:val="%9)"/>
      <w:lvlJc w:val="left"/>
      <w:pPr>
        <w:tabs>
          <w:tab w:val="num" w:pos="3382"/>
        </w:tabs>
        <w:ind w:left="3382" w:hanging="360"/>
      </w:pPr>
    </w:lvl>
  </w:abstractNum>
  <w:abstractNum w:abstractNumId="12">
    <w:lvl w:ilvl="0">
      <w:start w:val="2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lowerLetter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lowerLetter"/>
      <w:lvlText w:val="%5)"/>
      <w:lvlJc w:val="left"/>
      <w:pPr>
        <w:tabs>
          <w:tab w:val="num" w:pos="2160"/>
        </w:tabs>
        <w:ind w:left="2160" w:hanging="360"/>
      </w:pPr>
    </w:lvl>
    <w:lvl w:ilvl="5">
      <w:start w:val="1"/>
      <w:numFmt w:val="lowerLetter"/>
      <w:lvlText w:val="%6)"/>
      <w:lvlJc w:val="left"/>
      <w:pPr>
        <w:tabs>
          <w:tab w:val="num" w:pos="2520"/>
        </w:tabs>
        <w:ind w:left="2520" w:hanging="360"/>
      </w:p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360"/>
      </w:pPr>
    </w:lvl>
    <w:lvl w:ilvl="7">
      <w:start w:val="1"/>
      <w:numFmt w:val="lowerLetter"/>
      <w:lvlText w:val="%8)"/>
      <w:lvlJc w:val="left"/>
      <w:pPr>
        <w:tabs>
          <w:tab w:val="num" w:pos="3240"/>
        </w:tabs>
        <w:ind w:left="3240" w:hanging="360"/>
      </w:pPr>
    </w:lvl>
    <w:lvl w:ilvl="8">
      <w:start w:val="1"/>
      <w:numFmt w:val="lowerLetter"/>
      <w:lvlText w:val="%9)"/>
      <w:lvlJc w:val="left"/>
      <w:pPr>
        <w:tabs>
          <w:tab w:val="num" w:pos="3600"/>
        </w:tabs>
        <w:ind w:left="3600" w:hanging="360"/>
      </w:pPr>
    </w:lvl>
  </w:abstractNum>
  <w:abstractNum w:abstractNumId="1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sk-SK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semiHidden="1" w:unhideWhenUsed="1" w:qFormat="1"/>
    <w:lsdException w:name="heading 3" w:uiPriority="0" w:semiHidden="1" w:unhideWhenUsed="1" w:qFormat="1"/>
    <w:lsdException w:name="heading 4" w:uiPriority="0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semiHidden="1" w:unhideWhenUsed="1"/>
    <w:lsdException w:name="footer" w:uiPriority="0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0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uiPriority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uiPriority="0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5d601b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sk-SK" w:eastAsia="cs-CZ" w:bidi="ar-SA"/>
    </w:rPr>
  </w:style>
  <w:style w:type="paragraph" w:styleId="Nadpis1">
    <w:name w:val="Heading 1"/>
    <w:basedOn w:val="Normal"/>
    <w:next w:val="Normal"/>
    <w:link w:val="Nadpis1Char"/>
    <w:qFormat/>
    <w:rsid w:val="005d601b"/>
    <w:pPr>
      <w:keepNext w:val="true"/>
      <w:outlineLvl w:val="0"/>
    </w:pPr>
    <w:rPr>
      <w:rFonts w:ascii="Arial" w:hAnsi="Arial"/>
      <w:b/>
      <w:szCs w:val="20"/>
      <w:lang w:val="cs-CZ" w:eastAsia="sk-SK"/>
    </w:rPr>
  </w:style>
  <w:style w:type="paragraph" w:styleId="Nadpis2">
    <w:name w:val="Heading 2"/>
    <w:basedOn w:val="Normal"/>
    <w:next w:val="Normal"/>
    <w:link w:val="Nadpis2Char"/>
    <w:semiHidden/>
    <w:unhideWhenUsed/>
    <w:qFormat/>
    <w:rsid w:val="00d36798"/>
    <w:pPr>
      <w:keepNext w:val="true"/>
      <w:spacing w:before="240" w:after="60"/>
      <w:outlineLvl w:val="1"/>
    </w:pPr>
    <w:rPr>
      <w:rFonts w:ascii="Cambria" w:hAnsi="Cambria" w:eastAsia="" w:cs="" w:asciiTheme="majorHAnsi" w:cstheme="majorBidi" w:eastAsiaTheme="majorEastAsia" w:hAnsiTheme="majorHAnsi"/>
      <w:b/>
      <w:bCs/>
      <w:i/>
      <w:iCs/>
      <w:sz w:val="28"/>
      <w:szCs w:val="28"/>
      <w:lang w:eastAsia="sk-SK"/>
    </w:rPr>
  </w:style>
  <w:style w:type="paragraph" w:styleId="Nadpis3">
    <w:name w:val="Heading 3"/>
    <w:basedOn w:val="Normal"/>
    <w:next w:val="Normal"/>
    <w:link w:val="Nadpis3Char"/>
    <w:semiHidden/>
    <w:unhideWhenUsed/>
    <w:qFormat/>
    <w:rsid w:val="00d36798"/>
    <w:pPr>
      <w:keepNext w:val="true"/>
      <w:spacing w:before="240" w:after="60"/>
      <w:outlineLvl w:val="2"/>
    </w:pPr>
    <w:rPr>
      <w:rFonts w:ascii="Cambria" w:hAnsi="Cambria" w:eastAsia="" w:cs="" w:asciiTheme="majorHAnsi" w:cstheme="majorBidi" w:eastAsiaTheme="majorEastAsia" w:hAnsiTheme="majorHAnsi"/>
      <w:b/>
      <w:bCs/>
      <w:sz w:val="26"/>
      <w:szCs w:val="26"/>
      <w:lang w:eastAsia="sk-SK"/>
    </w:rPr>
  </w:style>
  <w:style w:type="paragraph" w:styleId="Nadpis4">
    <w:name w:val="Heading 4"/>
    <w:basedOn w:val="Normal"/>
    <w:next w:val="Normal"/>
    <w:link w:val="Nadpis4Char"/>
    <w:unhideWhenUsed/>
    <w:qFormat/>
    <w:rsid w:val="00d36798"/>
    <w:pPr>
      <w:keepNext w:val="true"/>
      <w:keepLines/>
      <w:spacing w:before="40" w:after="0"/>
      <w:outlineLvl w:val="3"/>
    </w:pPr>
    <w:rPr>
      <w:rFonts w:ascii="Cambria" w:hAnsi="Cambria" w:eastAsia="" w:cs="" w:asciiTheme="majorHAnsi" w:cstheme="majorBidi" w:eastAsiaTheme="majorEastAsia" w:hAnsiTheme="majorHAnsi"/>
      <w:i/>
      <w:iCs/>
      <w:color w:val="365F91" w:themeColor="accent1" w:themeShade="bf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dpis1Char" w:customStyle="1">
    <w:name w:val="Nadpis 1 Char"/>
    <w:basedOn w:val="DefaultParagraphFont"/>
    <w:link w:val="Nadpis1"/>
    <w:qFormat/>
    <w:rsid w:val="005d601b"/>
    <w:rPr>
      <w:rFonts w:ascii="Arial" w:hAnsi="Arial" w:eastAsia="Times New Roman" w:cs="Times New Roman"/>
      <w:b/>
      <w:sz w:val="24"/>
      <w:szCs w:val="20"/>
      <w:lang w:val="cs-CZ" w:eastAsia="sk-SK"/>
    </w:rPr>
  </w:style>
  <w:style w:type="character" w:styleId="Nadpis2Char" w:customStyle="1">
    <w:name w:val="Nadpis 2 Char"/>
    <w:basedOn w:val="DefaultParagraphFont"/>
    <w:link w:val="Nadpis2"/>
    <w:semiHidden/>
    <w:qFormat/>
    <w:rsid w:val="00d36798"/>
    <w:rPr>
      <w:rFonts w:ascii="Cambria" w:hAnsi="Cambria" w:eastAsia="" w:cs="" w:asciiTheme="majorHAnsi" w:cstheme="majorBidi" w:eastAsiaTheme="majorEastAsia" w:hAnsiTheme="majorHAnsi"/>
      <w:b/>
      <w:bCs/>
      <w:i/>
      <w:iCs/>
      <w:sz w:val="28"/>
      <w:szCs w:val="28"/>
      <w:lang w:eastAsia="sk-SK"/>
    </w:rPr>
  </w:style>
  <w:style w:type="character" w:styleId="Nadpis3Char" w:customStyle="1">
    <w:name w:val="Nadpis 3 Char"/>
    <w:basedOn w:val="DefaultParagraphFont"/>
    <w:link w:val="Nadpis3"/>
    <w:semiHidden/>
    <w:qFormat/>
    <w:rsid w:val="00d36798"/>
    <w:rPr>
      <w:rFonts w:ascii="Cambria" w:hAnsi="Cambria" w:eastAsia="" w:cs="" w:asciiTheme="majorHAnsi" w:cstheme="majorBidi" w:eastAsiaTheme="majorEastAsia" w:hAnsiTheme="majorHAnsi"/>
      <w:b/>
      <w:bCs/>
      <w:sz w:val="26"/>
      <w:szCs w:val="26"/>
      <w:lang w:eastAsia="sk-SK"/>
    </w:rPr>
  </w:style>
  <w:style w:type="character" w:styleId="Nadpis4Char" w:customStyle="1">
    <w:name w:val="Nadpis 4 Char"/>
    <w:basedOn w:val="DefaultParagraphFont"/>
    <w:link w:val="Nadpis4"/>
    <w:qFormat/>
    <w:rsid w:val="00d36798"/>
    <w:rPr>
      <w:rFonts w:ascii="Cambria" w:hAnsi="Cambria" w:eastAsia="" w:cs="" w:asciiTheme="majorHAnsi" w:cstheme="majorBidi" w:eastAsiaTheme="majorEastAsia" w:hAnsiTheme="majorHAnsi"/>
      <w:i/>
      <w:iCs/>
      <w:color w:val="365F91" w:themeColor="accent1" w:themeShade="bf"/>
      <w:sz w:val="24"/>
      <w:szCs w:val="24"/>
      <w:lang w:eastAsia="cs-CZ"/>
    </w:rPr>
  </w:style>
  <w:style w:type="character" w:styleId="HlavikaChar" w:customStyle="1">
    <w:name w:val="Hlavička Char"/>
    <w:basedOn w:val="DefaultParagraphFont"/>
    <w:link w:val="Hlavika"/>
    <w:uiPriority w:val="99"/>
    <w:qFormat/>
    <w:rsid w:val="005d601b"/>
    <w:rPr/>
  </w:style>
  <w:style w:type="character" w:styleId="PtaChar" w:customStyle="1">
    <w:name w:val="Päta Char"/>
    <w:basedOn w:val="DefaultParagraphFont"/>
    <w:link w:val="Pta"/>
    <w:uiPriority w:val="99"/>
    <w:qFormat/>
    <w:rsid w:val="005d601b"/>
    <w:rPr/>
  </w:style>
  <w:style w:type="character" w:styleId="TextbublinyChar" w:customStyle="1">
    <w:name w:val="Text bubliny Char"/>
    <w:basedOn w:val="DefaultParagraphFont"/>
    <w:link w:val="Textbubliny"/>
    <w:qFormat/>
    <w:rsid w:val="005d601b"/>
    <w:rPr>
      <w:rFonts w:ascii="Tahoma" w:hAnsi="Tahoma" w:cs="Tahoma"/>
      <w:sz w:val="16"/>
      <w:szCs w:val="16"/>
    </w:rPr>
  </w:style>
  <w:style w:type="character" w:styleId="Internetovodkaz" w:customStyle="1">
    <w:name w:val="Internetový odkaz"/>
    <w:rsid w:val="005d601b"/>
    <w:rPr>
      <w:color w:val="0000FF"/>
      <w:u w:val="single"/>
    </w:rPr>
  </w:style>
  <w:style w:type="character" w:styleId="Pagenumber">
    <w:name w:val="page number"/>
    <w:basedOn w:val="DefaultParagraphFont"/>
    <w:qFormat/>
    <w:rsid w:val="00d36798"/>
    <w:rPr/>
  </w:style>
  <w:style w:type="character" w:styleId="Strong">
    <w:name w:val="Strong"/>
    <w:uiPriority w:val="22"/>
    <w:qFormat/>
    <w:rsid w:val="00d36798"/>
    <w:rPr>
      <w:b/>
      <w:bCs/>
    </w:rPr>
  </w:style>
  <w:style w:type="character" w:styleId="Zdraznenie" w:customStyle="1">
    <w:name w:val="Zdôraznenie"/>
    <w:uiPriority w:val="20"/>
    <w:qFormat/>
    <w:rsid w:val="00d36798"/>
    <w:rPr>
      <w:i/>
      <w:iCs/>
    </w:rPr>
  </w:style>
  <w:style w:type="character" w:styleId="ZkladntextChar" w:customStyle="1">
    <w:name w:val="Základný text Char"/>
    <w:basedOn w:val="DefaultParagraphFont"/>
    <w:link w:val="Zkladntext"/>
    <w:qFormat/>
    <w:rsid w:val="00d36798"/>
    <w:rPr>
      <w:rFonts w:ascii="Times New Roman" w:hAnsi="Times New Roman" w:eastAsia="Times New Roman" w:cs="Times New Roman"/>
      <w:b/>
      <w:sz w:val="72"/>
      <w:szCs w:val="20"/>
      <w:lang w:eastAsia="sk-SK"/>
    </w:rPr>
  </w:style>
  <w:style w:type="character" w:styleId="Symbolypreslovanie" w:customStyle="1">
    <w:name w:val="Symboly pre číslovanie"/>
    <w:qFormat/>
    <w:rPr/>
  </w:style>
  <w:style w:type="character" w:styleId="Odrky" w:customStyle="1">
    <w:name w:val="Odrážky"/>
    <w:qFormat/>
    <w:rPr>
      <w:rFonts w:ascii="OpenSymbol" w:hAnsi="OpenSymbol" w:eastAsia="OpenSymbol" w:cs="OpenSymbol"/>
    </w:rPr>
  </w:style>
  <w:style w:type="paragraph" w:styleId="Nadpis" w:customStyle="1">
    <w:name w:val="Nadpis"/>
    <w:basedOn w:val="Normal"/>
    <w:next w:val="Telotex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lotextu">
    <w:name w:val="Body Text"/>
    <w:basedOn w:val="Normal"/>
    <w:link w:val="ZkladntextChar"/>
    <w:rsid w:val="00d36798"/>
    <w:pPr>
      <w:jc w:val="center"/>
    </w:pPr>
    <w:rPr>
      <w:b/>
      <w:sz w:val="72"/>
      <w:szCs w:val="20"/>
      <w:lang w:eastAsia="sk-SK"/>
    </w:rPr>
  </w:style>
  <w:style w:type="paragraph" w:styleId="Zoznam">
    <w:name w:val="List"/>
    <w:basedOn w:val="Telotextu"/>
    <w:pPr/>
    <w:rPr>
      <w:rFonts w:cs="Arial"/>
    </w:rPr>
  </w:style>
  <w:style w:type="paragraph" w:styleId="Po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 w:customStyle="1">
    <w:name w:val="Index"/>
    <w:basedOn w:val="Normal"/>
    <w:qFormat/>
    <w:pPr>
      <w:suppressLineNumbers/>
    </w:pPr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styleId="Hlavikaapta" w:customStyle="1">
    <w:name w:val="Hlavička a päta"/>
    <w:basedOn w:val="Normal"/>
    <w:qFormat/>
    <w:pPr/>
    <w:rPr/>
  </w:style>
  <w:style w:type="paragraph" w:styleId="Zhlavie">
    <w:name w:val="Header"/>
    <w:basedOn w:val="Normal"/>
    <w:link w:val="HlavikaChar"/>
    <w:unhideWhenUsed/>
    <w:rsid w:val="005d601b"/>
    <w:pPr>
      <w:tabs>
        <w:tab w:val="clear" w:pos="720"/>
        <w:tab w:val="center" w:pos="4536" w:leader="none"/>
        <w:tab w:val="right" w:pos="9072" w:leader="none"/>
      </w:tabs>
    </w:pPr>
    <w:rPr>
      <w:rFonts w:ascii="Calibri" w:hAnsi="Calibri" w:eastAsia="Calibri" w:cs="" w:asciiTheme="minorHAnsi" w:cstheme="minorBidi" w:eastAsiaTheme="minorHAnsi" w:hAnsiTheme="minorHAnsi"/>
      <w:sz w:val="22"/>
      <w:szCs w:val="22"/>
      <w:lang w:eastAsia="en-US"/>
    </w:rPr>
  </w:style>
  <w:style w:type="paragraph" w:styleId="Pta">
    <w:name w:val="Footer"/>
    <w:basedOn w:val="Normal"/>
    <w:link w:val="PtaChar"/>
    <w:unhideWhenUsed/>
    <w:rsid w:val="005d601b"/>
    <w:pPr>
      <w:tabs>
        <w:tab w:val="clear" w:pos="720"/>
        <w:tab w:val="center" w:pos="4536" w:leader="none"/>
        <w:tab w:val="right" w:pos="9072" w:leader="none"/>
      </w:tabs>
    </w:pPr>
    <w:rPr>
      <w:rFonts w:ascii="Calibri" w:hAnsi="Calibri" w:eastAsia="Calibri" w:cs="" w:asciiTheme="minorHAnsi" w:cstheme="minorBidi" w:eastAsiaTheme="minorHAnsi" w:hAnsiTheme="minorHAnsi"/>
      <w:sz w:val="22"/>
      <w:szCs w:val="22"/>
      <w:lang w:eastAsia="en-US"/>
    </w:rPr>
  </w:style>
  <w:style w:type="paragraph" w:styleId="BalloonText">
    <w:name w:val="Balloon Text"/>
    <w:basedOn w:val="Normal"/>
    <w:link w:val="TextbublinyChar"/>
    <w:unhideWhenUsed/>
    <w:qFormat/>
    <w:rsid w:val="005d601b"/>
    <w:pPr/>
    <w:rPr>
      <w:rFonts w:ascii="Tahoma" w:hAnsi="Tahoma" w:eastAsia="Calibri" w:cs="Tahoma" w:eastAsiaTheme="minorHAnsi"/>
      <w:sz w:val="16"/>
      <w:szCs w:val="16"/>
      <w:lang w:eastAsia="en-US"/>
    </w:rPr>
  </w:style>
  <w:style w:type="paragraph" w:styleId="ListParagraph">
    <w:name w:val="List Paragraph"/>
    <w:basedOn w:val="Normal"/>
    <w:uiPriority w:val="34"/>
    <w:qFormat/>
    <w:rsid w:val="00d36798"/>
    <w:pPr>
      <w:spacing w:lineRule="auto" w:line="276" w:before="0" w:after="200"/>
      <w:ind w:left="720" w:hanging="0"/>
      <w:contextualSpacing/>
    </w:pPr>
    <w:rPr>
      <w:rFonts w:ascii="Calibri" w:hAnsi="Calibri"/>
      <w:sz w:val="22"/>
      <w:szCs w:val="22"/>
      <w:lang w:val="en-US" w:eastAsia="en-US" w:bidi="en-US"/>
    </w:rPr>
  </w:style>
  <w:style w:type="paragraph" w:styleId="Obsahtabuky" w:customStyle="1">
    <w:name w:val="Obsah tabuľky"/>
    <w:basedOn w:val="Normal"/>
    <w:qFormat/>
    <w:pPr>
      <w:widowControl w:val="false"/>
      <w:suppressLineNumbers/>
    </w:pPr>
    <w:rPr/>
  </w:style>
  <w:style w:type="paragraph" w:styleId="Zhlavietabuky" w:customStyle="1">
    <w:name w:val="Záhlavie tabuľky"/>
    <w:basedOn w:val="Obsahtabuky"/>
    <w:qFormat/>
    <w:pPr>
      <w:jc w:val="center"/>
    </w:pPr>
    <w:rPr>
      <w:b/>
      <w:bCs/>
    </w:rPr>
  </w:style>
  <w:style w:type="paragraph" w:styleId="TableParagraph" w:customStyle="1">
    <w:name w:val="Table Paragraph"/>
    <w:basedOn w:val="Normal"/>
    <w:qFormat/>
    <w:pPr/>
    <w:rPr>
      <w:lang w:eastAsia="en-US"/>
    </w:rPr>
  </w:style>
  <w:style w:type="numbering" w:styleId="NoList" w:default="1">
    <w:name w:val="No List"/>
    <w:uiPriority w:val="99"/>
    <w:semiHidden/>
    <w:unhideWhenUsed/>
    <w:qFormat/>
  </w:style>
  <w:style w:type="numbering" w:styleId="Znaka">
    <w:name w:val="Značka •"/>
    <w:qFormat/>
  </w:style>
  <w:style w:type="table" w:default="1" w:styleId="Normlnatabu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Mriekatabuky">
    <w:name w:val="Table Grid"/>
    <w:basedOn w:val="Normlnatabuka"/>
    <w:rsid w:val="005d601b"/>
    <w:rPr>
      <w:lang w:eastAsia="sk-SK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mailto:obec@rakovnica.sk" TargetMode="External"/><Relationship Id="rId2" Type="http://schemas.openxmlformats.org/officeDocument/2006/relationships/hyperlink" Target="mailto:starosta@rakovnica.sk" TargetMode="Externa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wmf"/>
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0241A8-D2F3-4214-90F4-99260C1AFE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2051</TotalTime>
  <Application>LibreOffice/7.0.4.2$Windows_X86_64 LibreOffice_project/dcf040e67528d9187c66b2379df5ea4407429775</Application>
  <AppVersion>15.0000</AppVersion>
  <Pages>26</Pages>
  <Words>5359</Words>
  <Characters>28195</Characters>
  <CharactersWithSpaces>33179</CharactersWithSpaces>
  <Paragraphs>922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2025-04-07T14:38:00Z</dcterms:created>
  <dc:creator>PAM</dc:creator>
  <dc:description/>
  <dc:language>sk-SK</dc:language>
  <cp:lastModifiedBy/>
  <cp:lastPrinted>2023-06-05T13:59:00Z</cp:lastPrinted>
  <dcterms:modified xsi:type="dcterms:W3CDTF">2026-04-14T19:00:22Z</dcterms:modified>
  <cp:revision>199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